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A014D" w14:textId="77777777" w:rsidR="007409E5" w:rsidRPr="006A182C" w:rsidRDefault="007409E5" w:rsidP="00CE0464">
      <w:pPr>
        <w:pStyle w:val="berschrift1"/>
        <w:spacing w:before="120"/>
        <w:rPr>
          <w:b w:val="0"/>
          <w:bCs/>
        </w:rPr>
      </w:pPr>
      <w:r w:rsidRPr="006A182C">
        <w:rPr>
          <w:b w:val="0"/>
          <w:bCs/>
        </w:rPr>
        <w:t>Monoalphabetische Substitution</w:t>
      </w:r>
    </w:p>
    <w:p w14:paraId="7460B425" w14:textId="10243855" w:rsidR="007409E5" w:rsidRDefault="007409E5" w:rsidP="007409E5">
      <w:r>
        <w:t xml:space="preserve">Monoalphabetische </w:t>
      </w:r>
      <w:r w:rsidR="006F6C7C">
        <w:t>Substitution</w:t>
      </w:r>
      <w:r w:rsidR="0094395E">
        <w:t xml:space="preserve"> ist der Fachbegriff für ein Ersetzungs</w:t>
      </w:r>
      <w:r>
        <w:t>verfahren</w:t>
      </w:r>
      <w:r w:rsidR="0094395E">
        <w:t>, das</w:t>
      </w:r>
      <w:r>
        <w:t xml:space="preserve"> jedem </w:t>
      </w:r>
      <w:r w:rsidRPr="00634DEE">
        <w:rPr>
          <w:b/>
          <w:bCs/>
        </w:rPr>
        <w:t>Klartext</w:t>
      </w:r>
      <w:r w:rsidR="00CE0464">
        <w:rPr>
          <w:b/>
          <w:bCs/>
        </w:rPr>
        <w:softHyphen/>
      </w:r>
      <w:r w:rsidRPr="00634DEE">
        <w:rPr>
          <w:b/>
          <w:bCs/>
        </w:rPr>
        <w:t>zeichen</w:t>
      </w:r>
      <w:r>
        <w:t xml:space="preserve"> genau ein </w:t>
      </w:r>
      <w:r w:rsidRPr="00634DEE">
        <w:rPr>
          <w:b/>
          <w:bCs/>
        </w:rPr>
        <w:t>Geheimtext</w:t>
      </w:r>
      <w:r w:rsidR="006F6C7C">
        <w:rPr>
          <w:b/>
          <w:bCs/>
        </w:rPr>
        <w:softHyphen/>
      </w:r>
      <w:r w:rsidRPr="00634DEE">
        <w:rPr>
          <w:b/>
          <w:bCs/>
        </w:rPr>
        <w:t>zeichen</w:t>
      </w:r>
      <w:r>
        <w:t xml:space="preserve"> zu</w:t>
      </w:r>
      <w:r w:rsidR="0094395E">
        <w:t>ordnet</w:t>
      </w:r>
      <w:r>
        <w:t xml:space="preserve">. </w:t>
      </w:r>
      <w:r w:rsidR="0094395E">
        <w:t xml:space="preserve">Das </w:t>
      </w:r>
      <w:r w:rsidR="006F6C7C">
        <w:t xml:space="preserve">Caesar-Verfahren </w:t>
      </w:r>
      <w:r w:rsidR="0094395E">
        <w:t xml:space="preserve">ist ein Beispiel für eine solche Ersetzung. Anstatt das Alphabet zu verschieben, </w:t>
      </w:r>
      <w:r w:rsidR="006F6C7C">
        <w:t xml:space="preserve">können die Geheimtextzeichen den Klartextzeichen </w:t>
      </w:r>
      <w:r w:rsidR="0094395E">
        <w:t xml:space="preserve">aber auch beliebig </w:t>
      </w:r>
      <w:r w:rsidR="006F6C7C">
        <w:t xml:space="preserve">zugeordnet werden. </w:t>
      </w:r>
      <w:r>
        <w:t>Eine Zuordnungstabelle könnte zum Beispiel so aussehen:</w:t>
      </w:r>
    </w:p>
    <w:tbl>
      <w:tblPr>
        <w:tblStyle w:val="Gitternetztabelle5dunkelAkzent6"/>
        <w:tblW w:w="9071" w:type="dxa"/>
        <w:tblLayout w:type="fixed"/>
        <w:tblLook w:val="0280" w:firstRow="0" w:lastRow="0" w:firstColumn="1" w:lastColumn="0" w:noHBand="1" w:noVBand="0"/>
      </w:tblPr>
      <w:tblGrid>
        <w:gridCol w:w="1271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B800D8" w14:paraId="0014B79C" w14:textId="77777777" w:rsidTr="00B800D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Mar>
              <w:left w:w="57" w:type="dxa"/>
              <w:right w:w="0" w:type="dxa"/>
            </w:tcMar>
            <w:vAlign w:val="center"/>
          </w:tcPr>
          <w:p w14:paraId="3CEBF317" w14:textId="77777777" w:rsidR="007409E5" w:rsidRPr="00B800D8" w:rsidRDefault="007409E5" w:rsidP="0011475F">
            <w:pPr>
              <w:spacing w:after="0"/>
              <w:rPr>
                <w:sz w:val="20"/>
                <w:szCs w:val="20"/>
              </w:rPr>
            </w:pPr>
            <w:r w:rsidRPr="00B800D8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2D998BD" w14:textId="77777777" w:rsidR="007409E5" w:rsidRDefault="007409E5" w:rsidP="007409E5">
            <w:pPr>
              <w:jc w:val="center"/>
            </w:pPr>
            <w:r>
              <w:t>a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0C56D44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0FDA50B" w14:textId="77777777" w:rsidR="007409E5" w:rsidRDefault="007409E5" w:rsidP="007409E5">
            <w:pPr>
              <w:jc w:val="center"/>
            </w:pPr>
            <w:r>
              <w:t>c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DB15A95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7ECD9D3" w14:textId="77777777" w:rsidR="007409E5" w:rsidRDefault="007409E5" w:rsidP="007409E5">
            <w:pPr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46D495F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FA4938E" w14:textId="77777777" w:rsidR="007409E5" w:rsidRDefault="007409E5" w:rsidP="007409E5">
            <w:pPr>
              <w:jc w:val="center"/>
            </w:pPr>
            <w:r>
              <w:t>g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7BDAAD1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24EF3E8" w14:textId="77777777" w:rsidR="007409E5" w:rsidRDefault="007409E5" w:rsidP="007409E5">
            <w:pPr>
              <w:jc w:val="center"/>
            </w:pPr>
            <w:r>
              <w:t>i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9EFFF45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720DACC" w14:textId="77777777" w:rsidR="007409E5" w:rsidRDefault="007409E5" w:rsidP="007409E5">
            <w:pPr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276B10E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E7343F9" w14:textId="77777777" w:rsidR="007409E5" w:rsidRDefault="007409E5" w:rsidP="007409E5">
            <w:pPr>
              <w:ind w:left="-6" w:firstLine="6"/>
              <w:jc w:val="center"/>
            </w:pPr>
            <w:r>
              <w:t>m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70371CA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A310D0C" w14:textId="77777777" w:rsidR="007409E5" w:rsidRDefault="007409E5" w:rsidP="007409E5">
            <w:pPr>
              <w:jc w:val="center"/>
            </w:pPr>
            <w:r>
              <w:t>o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6CE8E2E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D314842" w14:textId="77777777" w:rsidR="007409E5" w:rsidRDefault="007409E5" w:rsidP="007409E5">
            <w:pPr>
              <w:jc w:val="center"/>
            </w:pPr>
            <w:r>
              <w:t>q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6AE0C1A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E1332AA" w14:textId="77777777" w:rsidR="007409E5" w:rsidRDefault="007409E5" w:rsidP="007409E5">
            <w:pPr>
              <w:jc w:val="center"/>
            </w:pPr>
            <w:r>
              <w:t>s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18B68D9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C41EC13" w14:textId="77777777" w:rsidR="007409E5" w:rsidRDefault="007409E5" w:rsidP="007409E5">
            <w:pPr>
              <w:jc w:val="center"/>
            </w:pPr>
            <w:r>
              <w:t>u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80A8B4A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78E7AE2" w14:textId="77777777" w:rsidR="007409E5" w:rsidRDefault="007409E5" w:rsidP="007409E5">
            <w:pPr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00D2A9C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4287BEA" w14:textId="77777777" w:rsidR="007409E5" w:rsidRDefault="007409E5" w:rsidP="007409E5">
            <w:pPr>
              <w:jc w:val="center"/>
            </w:pPr>
            <w:r>
              <w:t>y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026804C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B800D8" w14:paraId="7CD92CB0" w14:textId="77777777" w:rsidTr="00B800D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Mar>
              <w:left w:w="57" w:type="dxa"/>
              <w:right w:w="0" w:type="dxa"/>
            </w:tcMar>
            <w:vAlign w:val="center"/>
          </w:tcPr>
          <w:p w14:paraId="35D4808A" w14:textId="685CAC76" w:rsidR="007409E5" w:rsidRPr="00B800D8" w:rsidRDefault="007409E5" w:rsidP="0011475F">
            <w:pPr>
              <w:spacing w:after="0"/>
              <w:rPr>
                <w:sz w:val="20"/>
                <w:szCs w:val="20"/>
              </w:rPr>
            </w:pPr>
            <w:r w:rsidRPr="00B800D8">
              <w:rPr>
                <w:sz w:val="20"/>
                <w:szCs w:val="20"/>
              </w:rPr>
              <w:t>Geheimtext-zeichen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453EFB3" w14:textId="77777777" w:rsidR="007409E5" w:rsidRDefault="007409E5" w:rsidP="007409E5">
            <w:pPr>
              <w:ind w:left="-5"/>
              <w:jc w:val="center"/>
            </w:pPr>
            <w:r>
              <w:t>G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31F64AC" w14:textId="77777777" w:rsidR="007409E5" w:rsidRDefault="007409E5" w:rsidP="007409E5">
            <w:pPr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665C844" w14:textId="77777777" w:rsidR="007409E5" w:rsidRDefault="007409E5" w:rsidP="007409E5">
            <w:pPr>
              <w:ind w:left="-21"/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9C0B1DD" w14:textId="77777777" w:rsidR="007409E5" w:rsidRDefault="007409E5" w:rsidP="007409E5">
            <w:pPr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0747154" w14:textId="77777777" w:rsidR="007409E5" w:rsidRDefault="007409E5" w:rsidP="007409E5">
            <w:pPr>
              <w:ind w:left="-72"/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E2CA212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1525E6F" w14:textId="77777777" w:rsidR="007409E5" w:rsidRDefault="007409E5" w:rsidP="007409E5">
            <w:pPr>
              <w:jc w:val="center"/>
            </w:pPr>
            <w:r>
              <w:t>L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FFDB69E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353B3A0" w14:textId="77777777" w:rsidR="007409E5" w:rsidRDefault="007409E5" w:rsidP="007409E5">
            <w:pPr>
              <w:jc w:val="center"/>
            </w:pPr>
            <w:r>
              <w:t>S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D1ECE00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1D1BDC8" w14:textId="77777777" w:rsidR="007409E5" w:rsidRDefault="007409E5" w:rsidP="007409E5">
            <w:pPr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66A44B8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5DB475A" w14:textId="77777777" w:rsidR="007409E5" w:rsidRDefault="007409E5" w:rsidP="007409E5">
            <w:pPr>
              <w:jc w:val="center"/>
            </w:pPr>
            <w:r>
              <w:t>N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84CFF85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CF35127" w14:textId="77777777" w:rsidR="007409E5" w:rsidRDefault="007409E5" w:rsidP="007409E5">
            <w:pPr>
              <w:jc w:val="center"/>
            </w:pPr>
            <w:r>
              <w:t>Z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D7D3C13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876AF38" w14:textId="77777777" w:rsidR="007409E5" w:rsidRDefault="007409E5" w:rsidP="007409E5">
            <w:pPr>
              <w:jc w:val="center"/>
            </w:pPr>
            <w:r>
              <w:t>A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C2CDD2D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02DB50E" w14:textId="77777777" w:rsidR="007409E5" w:rsidRDefault="007409E5" w:rsidP="007409E5">
            <w:pPr>
              <w:jc w:val="center"/>
            </w:pPr>
            <w:r>
              <w:t>I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487AC48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3E929F6" w14:textId="77777777" w:rsidR="007409E5" w:rsidRDefault="007409E5" w:rsidP="007409E5">
            <w:pPr>
              <w:jc w:val="center"/>
            </w:pPr>
            <w:r>
              <w:t>P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2FB9A1B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6953F28B" w14:textId="77777777" w:rsidR="007409E5" w:rsidRDefault="007409E5" w:rsidP="007409E5">
            <w:pPr>
              <w:jc w:val="center"/>
            </w:pPr>
            <w:r>
              <w:t>R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48CBE8C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676EAF5" w14:textId="77777777" w:rsidR="007409E5" w:rsidRDefault="007409E5" w:rsidP="007409E5">
            <w:pPr>
              <w:jc w:val="center"/>
            </w:pPr>
            <w:r>
              <w:t>U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B209AA4" w14:textId="77777777" w:rsidR="007409E5" w:rsidRDefault="007409E5" w:rsidP="00740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</w:tr>
    </w:tbl>
    <w:p w14:paraId="32945519" w14:textId="1A6906AC" w:rsidR="007409E5" w:rsidRDefault="007409E5" w:rsidP="0011475F">
      <w:pPr>
        <w:pStyle w:val="UnterschriftINFSI"/>
        <w:spacing w:after="120"/>
      </w:pPr>
      <w:r>
        <w:t xml:space="preserve">Tabelle </w:t>
      </w:r>
      <w:fldSimple w:instr=" SEQ Tabelle \* ARABIC ">
        <w:r w:rsidR="00462F3C">
          <w:rPr>
            <w:noProof/>
          </w:rPr>
          <w:t>1</w:t>
        </w:r>
      </w:fldSimple>
      <w:r>
        <w:t>:Beispiel für eine monoalphabetische Verschlüsselung</w:t>
      </w:r>
    </w:p>
    <w:p w14:paraId="7F916EFA" w14:textId="520C687E" w:rsidR="007409E5" w:rsidRPr="0087736F" w:rsidRDefault="007409E5" w:rsidP="007409E5">
      <w:pPr>
        <w:spacing w:after="0"/>
        <w:rPr>
          <w:b/>
          <w:bCs/>
        </w:rPr>
      </w:pPr>
      <w:r w:rsidRPr="0087736F">
        <w:rPr>
          <w:b/>
          <w:bCs/>
        </w:rPr>
        <w:t>Aufgabe</w:t>
      </w:r>
      <w:r w:rsidR="00634DEE">
        <w:rPr>
          <w:b/>
          <w:bCs/>
        </w:rPr>
        <w:t xml:space="preserve"> 1</w:t>
      </w:r>
      <w:r w:rsidRPr="0087736F">
        <w:rPr>
          <w:b/>
          <w:bCs/>
        </w:rPr>
        <w:t xml:space="preserve">: </w:t>
      </w:r>
    </w:p>
    <w:p w14:paraId="095B774B" w14:textId="534CAC26" w:rsidR="007409E5" w:rsidRDefault="007409E5" w:rsidP="007409E5">
      <w:pPr>
        <w:pStyle w:val="Listenabsatz"/>
        <w:numPr>
          <w:ilvl w:val="0"/>
          <w:numId w:val="22"/>
        </w:numPr>
      </w:pPr>
      <w:r>
        <w:t xml:space="preserve">Verschlüssele den Text </w:t>
      </w:r>
      <w:r w:rsidR="00FF5A36">
        <w:rPr>
          <w:i/>
          <w:iCs/>
        </w:rPr>
        <w:t>morgen</w:t>
      </w:r>
      <w:r w:rsidR="00FF5A36" w:rsidRPr="0087736F">
        <w:rPr>
          <w:i/>
          <w:iCs/>
        </w:rPr>
        <w:t xml:space="preserve"> </w:t>
      </w:r>
      <w:proofErr w:type="spellStart"/>
      <w:r w:rsidR="00FF5A36">
        <w:rPr>
          <w:i/>
          <w:iCs/>
        </w:rPr>
        <w:t>schuelerstreich</w:t>
      </w:r>
      <w:proofErr w:type="spellEnd"/>
      <w:r w:rsidRPr="0087736F">
        <w:rPr>
          <w:i/>
          <w:iCs/>
        </w:rPr>
        <w:t xml:space="preserve"> </w:t>
      </w:r>
      <w:r w:rsidRPr="00123381">
        <w:t>mithilfe</w:t>
      </w:r>
      <w:r>
        <w:t xml:space="preserve"> der Tabelle 1.</w:t>
      </w:r>
    </w:p>
    <w:p w14:paraId="3DEE8A2F" w14:textId="2EE2091A" w:rsidR="006F6C7C" w:rsidRDefault="006F6C7C" w:rsidP="006F6C7C">
      <w:pPr>
        <w:pStyle w:val="Listenabsatz"/>
        <w:spacing w:before="240"/>
        <w:ind w:left="357"/>
        <w:contextualSpacing w:val="0"/>
      </w:pPr>
      <w:r>
        <w:t>_____________________________________________________</w:t>
      </w:r>
    </w:p>
    <w:p w14:paraId="14FC1F23" w14:textId="4C5048F9" w:rsidR="007409E5" w:rsidRDefault="007409E5" w:rsidP="007409E5">
      <w:pPr>
        <w:pStyle w:val="Listenabsatz"/>
        <w:numPr>
          <w:ilvl w:val="0"/>
          <w:numId w:val="22"/>
        </w:numPr>
      </w:pPr>
      <w:r>
        <w:t>Entschlüssele den Text MWXV RGX WI mithilfe der Tabelle 1.</w:t>
      </w:r>
    </w:p>
    <w:p w14:paraId="3F0C4EED" w14:textId="5595FAC9" w:rsidR="006F6C7C" w:rsidRDefault="006F6C7C" w:rsidP="006F6C7C">
      <w:pPr>
        <w:pStyle w:val="Listenabsatz"/>
        <w:spacing w:before="240"/>
        <w:ind w:left="357"/>
        <w:contextualSpacing w:val="0"/>
      </w:pPr>
      <w:r>
        <w:t>_____________________________________________________</w:t>
      </w:r>
    </w:p>
    <w:p w14:paraId="17FA25CB" w14:textId="77777777" w:rsidR="00634DEE" w:rsidRPr="006F6C7C" w:rsidRDefault="00634DEE" w:rsidP="0049027D">
      <w:pPr>
        <w:spacing w:before="120" w:after="0"/>
        <w:rPr>
          <w:b/>
          <w:bCs/>
        </w:rPr>
      </w:pPr>
      <w:r w:rsidRPr="006F6C7C">
        <w:rPr>
          <w:b/>
          <w:bCs/>
        </w:rPr>
        <w:t xml:space="preserve">Aufgabe 2: </w:t>
      </w:r>
    </w:p>
    <w:p w14:paraId="5B8226B6" w14:textId="58F83E17" w:rsidR="00634DEE" w:rsidRDefault="0049027D" w:rsidP="00634DEE">
      <w:pPr>
        <w:pStyle w:val="Listenabsatz"/>
        <w:numPr>
          <w:ilvl w:val="0"/>
          <w:numId w:val="25"/>
        </w:numPr>
      </w:pPr>
      <w:r>
        <w:t>Erstelle</w:t>
      </w:r>
      <w:r w:rsidR="00634DEE">
        <w:t xml:space="preserve"> dir mit deinem Nachbarn</w:t>
      </w:r>
      <w:r w:rsidR="00CE0464">
        <w:t>/deiner Nachbarin</w:t>
      </w:r>
      <w:r w:rsidR="00634DEE">
        <w:t xml:space="preserve"> eine Zuordnungstabelle für eine monoalphabetische Substitution. Als Geheimtextzeichen könnt ihr nicht nur Buchstaben, sondern beliebige Zeichen</w:t>
      </w:r>
      <w:r w:rsidR="0094395E">
        <w:t>, also z. B. auch Zahlen, Smileys usw.</w:t>
      </w:r>
      <w:r w:rsidR="00634DEE">
        <w:t xml:space="preserve"> verwenden. Ihr benötigt aber 26 verschiedene Geheimtextzeichen. Warum?</w:t>
      </w:r>
    </w:p>
    <w:tbl>
      <w:tblPr>
        <w:tblStyle w:val="Gitternetztabelle5dunkelAkzent6"/>
        <w:tblW w:w="9104" w:type="dxa"/>
        <w:tblLayout w:type="fixed"/>
        <w:tblLook w:val="0280" w:firstRow="0" w:lastRow="0" w:firstColumn="1" w:lastColumn="0" w:noHBand="1" w:noVBand="0"/>
      </w:tblPr>
      <w:tblGrid>
        <w:gridCol w:w="1304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6F6C7C" w14:paraId="3A1530C8" w14:textId="77777777" w:rsidTr="00CE0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Mar>
              <w:left w:w="57" w:type="dxa"/>
              <w:right w:w="28" w:type="dxa"/>
            </w:tcMar>
            <w:vAlign w:val="center"/>
          </w:tcPr>
          <w:p w14:paraId="7DBB5419" w14:textId="77777777" w:rsidR="006F6C7C" w:rsidRPr="00123381" w:rsidRDefault="006F6C7C" w:rsidP="000F21F0">
            <w:pPr>
              <w:spacing w:after="0"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6964310" w14:textId="77777777" w:rsidR="006F6C7C" w:rsidRDefault="006F6C7C" w:rsidP="00440E6D">
            <w:pPr>
              <w:jc w:val="center"/>
            </w:pPr>
            <w:r>
              <w:t>a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D977995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7200884" w14:textId="77777777" w:rsidR="006F6C7C" w:rsidRDefault="006F6C7C" w:rsidP="00440E6D">
            <w:pPr>
              <w:jc w:val="center"/>
            </w:pPr>
            <w:r>
              <w:t>c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2F3A36C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7D11630" w14:textId="77777777" w:rsidR="006F6C7C" w:rsidRDefault="006F6C7C" w:rsidP="00440E6D">
            <w:pPr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B4D12E0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6D9C0EA" w14:textId="77777777" w:rsidR="006F6C7C" w:rsidRDefault="006F6C7C" w:rsidP="00440E6D">
            <w:pPr>
              <w:jc w:val="center"/>
            </w:pPr>
            <w:r>
              <w:t>g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ACAAAED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C0BF861" w14:textId="77777777" w:rsidR="006F6C7C" w:rsidRDefault="006F6C7C" w:rsidP="00440E6D">
            <w:pPr>
              <w:jc w:val="center"/>
            </w:pPr>
            <w:r>
              <w:t>i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2445026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61C36A0A" w14:textId="77777777" w:rsidR="006F6C7C" w:rsidRDefault="006F6C7C" w:rsidP="00440E6D">
            <w:pPr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0C7F03B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157BECF" w14:textId="77777777" w:rsidR="006F6C7C" w:rsidRDefault="006F6C7C" w:rsidP="00440E6D">
            <w:pPr>
              <w:ind w:left="-6" w:firstLine="6"/>
              <w:jc w:val="center"/>
            </w:pPr>
            <w:r>
              <w:t>m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E3FC798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FD8D521" w14:textId="77777777" w:rsidR="006F6C7C" w:rsidRDefault="006F6C7C" w:rsidP="00440E6D">
            <w:pPr>
              <w:jc w:val="center"/>
            </w:pPr>
            <w:r>
              <w:t>o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C7534B1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773651C" w14:textId="77777777" w:rsidR="006F6C7C" w:rsidRDefault="006F6C7C" w:rsidP="00440E6D">
            <w:pPr>
              <w:jc w:val="center"/>
            </w:pPr>
            <w:r>
              <w:t>q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0FAB1EB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C8880E8" w14:textId="77777777" w:rsidR="006F6C7C" w:rsidRDefault="006F6C7C" w:rsidP="00440E6D">
            <w:pPr>
              <w:jc w:val="center"/>
            </w:pPr>
            <w:r>
              <w:t>s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BC5F369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417E6A7" w14:textId="77777777" w:rsidR="006F6C7C" w:rsidRDefault="006F6C7C" w:rsidP="00440E6D">
            <w:pPr>
              <w:jc w:val="center"/>
            </w:pPr>
            <w:r>
              <w:t>u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3F85089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83676A1" w14:textId="77777777" w:rsidR="006F6C7C" w:rsidRDefault="006F6C7C" w:rsidP="00440E6D">
            <w:pPr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C71D6AE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645A308" w14:textId="77777777" w:rsidR="006F6C7C" w:rsidRDefault="006F6C7C" w:rsidP="00440E6D">
            <w:pPr>
              <w:jc w:val="center"/>
            </w:pPr>
            <w:r>
              <w:t>y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88C513B" w14:textId="77777777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6F6C7C" w14:paraId="1C13DD81" w14:textId="77777777" w:rsidTr="00CE0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Mar>
              <w:left w:w="57" w:type="dxa"/>
              <w:right w:w="28" w:type="dxa"/>
            </w:tcMar>
            <w:vAlign w:val="center"/>
          </w:tcPr>
          <w:p w14:paraId="59FD354E" w14:textId="77777777" w:rsidR="006F6C7C" w:rsidRPr="00123381" w:rsidRDefault="006F6C7C" w:rsidP="000F21F0">
            <w:pPr>
              <w:spacing w:after="0"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Geheimtext-zeichen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61F2EA91" w14:textId="09939503" w:rsidR="006F6C7C" w:rsidRDefault="006F6C7C" w:rsidP="00440E6D">
            <w:pPr>
              <w:ind w:left="-5"/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F1DB8D5" w14:textId="3C043C8C" w:rsidR="006F6C7C" w:rsidRDefault="006F6C7C" w:rsidP="00440E6D">
            <w:pPr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2489C64" w14:textId="18597C5A" w:rsidR="006F6C7C" w:rsidRDefault="006F6C7C" w:rsidP="00440E6D">
            <w:pPr>
              <w:ind w:left="-21"/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6A4A070" w14:textId="35910AD6" w:rsidR="006F6C7C" w:rsidRDefault="006F6C7C" w:rsidP="00440E6D">
            <w:pPr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4ABC91F" w14:textId="79F13527" w:rsidR="006F6C7C" w:rsidRDefault="006F6C7C" w:rsidP="00440E6D">
            <w:pPr>
              <w:ind w:left="-72"/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D4F7B55" w14:textId="4BA4522C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D3B5A3F" w14:textId="54D35D04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9021214" w14:textId="2078C968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F7C7862" w14:textId="23CD9278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5232FD4" w14:textId="4F059262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1EEA4E4" w14:textId="673DF5A4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B38A69A" w14:textId="7A81F918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75C51CF" w14:textId="4DDB8B75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BBB79BF" w14:textId="68CE4FE2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23A5E7D" w14:textId="53AE826C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447D3E7" w14:textId="31137CFB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2990D5F" w14:textId="770C61DE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4A2E826" w14:textId="563980BB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8B0F6B6" w14:textId="767A8B28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7F5762A" w14:textId="1889B893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EC2FF21" w14:textId="1B1F3D92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9C24E9B" w14:textId="4E367B26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E4E844C" w14:textId="1EC6DDC4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5363859" w14:textId="467F5AB0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C1C4E8E" w14:textId="50C23BDC" w:rsidR="006F6C7C" w:rsidRDefault="006F6C7C" w:rsidP="00440E6D">
            <w:pPr>
              <w:jc w:val="center"/>
            </w:pP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4FE551C" w14:textId="41255888" w:rsidR="006F6C7C" w:rsidRDefault="006F6C7C" w:rsidP="00440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6427C8" w14:textId="09D1A826" w:rsidR="00634DEE" w:rsidRDefault="00634DEE" w:rsidP="006F6C7C">
      <w:pPr>
        <w:pStyle w:val="Listenabsatz"/>
        <w:numPr>
          <w:ilvl w:val="0"/>
          <w:numId w:val="25"/>
        </w:numPr>
        <w:spacing w:before="120" w:after="120"/>
        <w:ind w:left="357"/>
        <w:contextualSpacing w:val="0"/>
      </w:pPr>
      <w:r>
        <w:t xml:space="preserve">Tausche mit deinem Nachbarn geheime Nachrichten aus, die ihr mit eurer </w:t>
      </w:r>
      <w:r w:rsidR="001108A8">
        <w:t xml:space="preserve">Zuordnungstabelle </w:t>
      </w:r>
      <w:proofErr w:type="spellStart"/>
      <w:r w:rsidR="001108A8">
        <w:t>ver</w:t>
      </w:r>
      <w:proofErr w:type="spellEnd"/>
      <w:r w:rsidR="001108A8">
        <w:t>- und entschlüsselt.</w:t>
      </w:r>
    </w:p>
    <w:p w14:paraId="4B2C7CB7" w14:textId="6F2A5734" w:rsidR="006F6C7C" w:rsidRDefault="006F6C7C" w:rsidP="006F6C7C">
      <w:pPr>
        <w:pStyle w:val="Listenabsatz"/>
        <w:spacing w:before="120" w:after="120"/>
        <w:ind w:left="357"/>
        <w:contextualSpacing w:val="0"/>
      </w:pPr>
      <w:r>
        <w:t>verschlüsselte Nachricht: _______________________________________________________</w:t>
      </w:r>
    </w:p>
    <w:p w14:paraId="4660481F" w14:textId="7CB616D0" w:rsidR="006F6C7C" w:rsidRDefault="006F6C7C" w:rsidP="006F6C7C">
      <w:pPr>
        <w:pStyle w:val="Listenabsatz"/>
        <w:spacing w:before="240" w:after="120"/>
        <w:ind w:left="357"/>
        <w:contextualSpacing w:val="0"/>
      </w:pPr>
      <w:r>
        <w:t>entschlüsselte Nachricht: _______________________________________________________</w:t>
      </w:r>
    </w:p>
    <w:p w14:paraId="4D39317A" w14:textId="3700B9E3" w:rsidR="001108A8" w:rsidRDefault="001108A8" w:rsidP="001108A8">
      <w:r w:rsidRPr="006F6C7C">
        <w:rPr>
          <w:b/>
          <w:bCs/>
        </w:rPr>
        <w:t>Aufgabe 3:</w:t>
      </w:r>
      <w:r>
        <w:t xml:space="preserve"> </w:t>
      </w:r>
      <w:r w:rsidR="0049027D">
        <w:t>Gib an, was</w:t>
      </w:r>
      <w:r>
        <w:t xml:space="preserve"> bei einer monoalphabetischen Substitution die geheime Information</w:t>
      </w:r>
      <w:r w:rsidR="0049027D">
        <w:t xml:space="preserve"> ist,</w:t>
      </w:r>
      <w:r>
        <w:t xml:space="preserve"> die als Schlüssel dient</w:t>
      </w:r>
      <w:r w:rsidR="0049027D">
        <w:t>.</w:t>
      </w:r>
    </w:p>
    <w:p w14:paraId="32FE3728" w14:textId="3EC1B307" w:rsidR="00634DEE" w:rsidRDefault="00304261" w:rsidP="0011475F">
      <w:pPr>
        <w:spacing w:after="120"/>
      </w:pPr>
      <w:r>
        <w:t>Schlüssel: ________________________________________________________________________</w:t>
      </w:r>
    </w:p>
    <w:p w14:paraId="67283B91" w14:textId="5A754A26" w:rsidR="0011475F" w:rsidRDefault="001108A8" w:rsidP="0011475F">
      <w:pPr>
        <w:spacing w:after="0"/>
      </w:pPr>
      <w:r w:rsidRPr="00304261">
        <w:rPr>
          <w:b/>
          <w:bCs/>
        </w:rPr>
        <w:t xml:space="preserve">Aufgabe 4: </w:t>
      </w:r>
      <w:r w:rsidR="007409E5">
        <w:t>Wenn man die Zuordnungstabelle nicht kennt, ist es auf den ersten Blick ziemlich schwierig den verschlüsselten Text zu lesen. Denn es würde ziemlich lange dauern, alle möglichen Zuordnungen auszuprobieren.</w:t>
      </w:r>
      <w:r w:rsidR="006F6C7C">
        <w:t xml:space="preserve"> Es gibt 26 </w:t>
      </w:r>
      <w:r w:rsidR="006F6C7C">
        <w:sym w:font="Symbol" w:char="F0D7"/>
      </w:r>
      <w:r w:rsidR="006F6C7C">
        <w:t xml:space="preserve"> 25 </w:t>
      </w:r>
      <w:r w:rsidR="006F6C7C">
        <w:sym w:font="Symbol" w:char="F0D7"/>
      </w:r>
      <w:r w:rsidR="006F6C7C">
        <w:t xml:space="preserve"> 24 </w:t>
      </w:r>
      <w:r w:rsidR="006F6C7C">
        <w:sym w:font="Symbol" w:char="F0D7"/>
      </w:r>
      <w:r w:rsidR="006F6C7C">
        <w:t xml:space="preserve"> 23 </w:t>
      </w:r>
      <w:r w:rsidR="006F6C7C">
        <w:sym w:font="Symbol" w:char="F0D7"/>
      </w:r>
      <w:r w:rsidR="006F6C7C">
        <w:t xml:space="preserve"> </w:t>
      </w:r>
      <w:r w:rsidR="0011475F">
        <w:t xml:space="preserve">22  </w:t>
      </w:r>
      <w:r w:rsidR="0011475F">
        <w:sym w:font="Symbol" w:char="F0D7"/>
      </w:r>
      <w:r w:rsidR="0011475F">
        <w:t xml:space="preserve"> </w:t>
      </w:r>
      <w:r w:rsidR="006F6C7C">
        <w:t xml:space="preserve"> …  </w:t>
      </w:r>
      <w:r w:rsidR="006F6C7C">
        <w:sym w:font="Symbol" w:char="F0D7"/>
      </w:r>
      <w:r w:rsidR="006F6C7C">
        <w:t xml:space="preserve"> 1 = 403.291.461.126.605.635.584.000.000 Möglichkeiten. Das sind ungefähr 403 Trilliarden. </w:t>
      </w:r>
    </w:p>
    <w:p w14:paraId="0793FAC7" w14:textId="54B37C98" w:rsidR="0011475F" w:rsidRDefault="006F6C7C" w:rsidP="0011475F">
      <w:pPr>
        <w:pStyle w:val="Listenabsatz"/>
        <w:numPr>
          <w:ilvl w:val="0"/>
          <w:numId w:val="26"/>
        </w:numPr>
      </w:pPr>
      <w:r>
        <w:t xml:space="preserve">Begründe, warum es </w:t>
      </w:r>
      <w:r w:rsidR="0011475F">
        <w:t xml:space="preserve">bei </w:t>
      </w:r>
      <w:r w:rsidR="00B800D8">
        <w:t>der Verwendung einer Zuordnungstabelle, die den Klartextzeichen beliebige Geheimtextzeichen zuordnet,</w:t>
      </w:r>
      <w:r w:rsidR="0011475F">
        <w:t xml:space="preserve"> im Vergleich zum Caesar-Verfahren so viel mehr </w:t>
      </w:r>
      <w:r w:rsidR="00B800D8">
        <w:t xml:space="preserve">Möglichkeiten </w:t>
      </w:r>
      <w:r w:rsidR="0011475F">
        <w:t>gibt</w:t>
      </w:r>
      <w:r w:rsidR="00B800D8">
        <w:t>, die ein Angreifer ausprobieren müsste</w:t>
      </w:r>
      <w:r w:rsidR="0011475F">
        <w:t>.</w:t>
      </w:r>
      <w:r>
        <w:t xml:space="preserve"> </w:t>
      </w:r>
      <w:r w:rsidR="007409E5">
        <w:t xml:space="preserve"> </w:t>
      </w:r>
    </w:p>
    <w:p w14:paraId="59C756C7" w14:textId="31EBA56C" w:rsidR="000F21F0" w:rsidRDefault="0049027D" w:rsidP="00B800D8">
      <w:pPr>
        <w:pStyle w:val="Listenabsatz"/>
        <w:numPr>
          <w:ilvl w:val="0"/>
          <w:numId w:val="26"/>
        </w:numPr>
      </w:pPr>
      <w:r>
        <w:t xml:space="preserve">Sammelt Ideen für </w:t>
      </w:r>
      <w:r w:rsidR="0011475F">
        <w:t>schnellere</w:t>
      </w:r>
      <w:r w:rsidR="007409E5">
        <w:t xml:space="preserve"> Ansätze,</w:t>
      </w:r>
      <w:r>
        <w:t xml:space="preserve"> </w:t>
      </w:r>
      <w:r w:rsidR="007409E5">
        <w:t xml:space="preserve">wie sich </w:t>
      </w:r>
      <w:r w:rsidR="00B800D8">
        <w:t xml:space="preserve">ein </w:t>
      </w:r>
      <w:r w:rsidR="007409E5">
        <w:t>Text</w:t>
      </w:r>
      <w:r w:rsidR="00B800D8">
        <w:t>, der mit einer beliebigen Zuordnungstabelle verschlüsselt wurde,</w:t>
      </w:r>
      <w:r w:rsidR="007409E5">
        <w:t xml:space="preserve"> knacken lässt.</w:t>
      </w:r>
    </w:p>
    <w:p w14:paraId="0E10B490" w14:textId="6D544A43" w:rsidR="00345C52" w:rsidRDefault="000F21F0" w:rsidP="000F21F0">
      <w:r>
        <w:br w:type="page"/>
      </w:r>
      <w:r>
        <w:lastRenderedPageBreak/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sectPr w:rsidR="00345C52" w:rsidSect="006F6C7C">
      <w:headerReference w:type="default" r:id="rId9"/>
      <w:footerReference w:type="default" r:id="rId10"/>
      <w:pgSz w:w="11906" w:h="16838" w:code="9"/>
      <w:pgMar w:top="1702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5A2A" w14:textId="77777777" w:rsidR="00904A63" w:rsidRDefault="00904A63" w:rsidP="006D1346">
      <w:pPr>
        <w:spacing w:after="0" w:line="240" w:lineRule="auto"/>
      </w:pPr>
      <w:r>
        <w:separator/>
      </w:r>
    </w:p>
  </w:endnote>
  <w:endnote w:type="continuationSeparator" w:id="0">
    <w:p w14:paraId="2F985491" w14:textId="77777777" w:rsidR="00904A63" w:rsidRDefault="00904A6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7B6EF1FB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38964D6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CE0464">
      <w:rPr>
        <w:color w:val="808080" w:themeColor="background1" w:themeShade="80"/>
        <w:sz w:val="20"/>
        <w:szCs w:val="20"/>
      </w:rPr>
      <w:t>Januar</w:t>
    </w:r>
    <w:r w:rsidR="007409E5">
      <w:rPr>
        <w:color w:val="808080" w:themeColor="background1" w:themeShade="80"/>
        <w:sz w:val="20"/>
        <w:szCs w:val="20"/>
      </w:rPr>
      <w:t xml:space="preserve"> 202</w:t>
    </w:r>
    <w:r w:rsidR="00CE0464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174E6" w14:textId="77777777" w:rsidR="00904A63" w:rsidRDefault="00904A63" w:rsidP="006D1346">
      <w:pPr>
        <w:spacing w:after="0" w:line="240" w:lineRule="auto"/>
      </w:pPr>
      <w:r>
        <w:separator/>
      </w:r>
    </w:p>
  </w:footnote>
  <w:footnote w:type="continuationSeparator" w:id="0">
    <w:p w14:paraId="154DCB8A" w14:textId="77777777" w:rsidR="00904A63" w:rsidRDefault="00904A6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A6A2A"/>
    <w:multiLevelType w:val="hybridMultilevel"/>
    <w:tmpl w:val="CFC2011E"/>
    <w:lvl w:ilvl="0" w:tplc="38FC7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855563"/>
    <w:multiLevelType w:val="hybridMultilevel"/>
    <w:tmpl w:val="E6F4A0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6F01"/>
    <w:multiLevelType w:val="hybridMultilevel"/>
    <w:tmpl w:val="E22C3B1A"/>
    <w:lvl w:ilvl="0" w:tplc="84A8B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F306E"/>
    <w:multiLevelType w:val="hybridMultilevel"/>
    <w:tmpl w:val="3E92BEB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116EB1"/>
    <w:multiLevelType w:val="hybridMultilevel"/>
    <w:tmpl w:val="AC0001D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2"/>
  </w:num>
  <w:num w:numId="3">
    <w:abstractNumId w:val="5"/>
  </w:num>
  <w:num w:numId="4">
    <w:abstractNumId w:val="19"/>
  </w:num>
  <w:num w:numId="5">
    <w:abstractNumId w:val="25"/>
  </w:num>
  <w:num w:numId="6">
    <w:abstractNumId w:val="23"/>
  </w:num>
  <w:num w:numId="7">
    <w:abstractNumId w:val="16"/>
  </w:num>
  <w:num w:numId="8">
    <w:abstractNumId w:val="14"/>
  </w:num>
  <w:num w:numId="9">
    <w:abstractNumId w:val="0"/>
  </w:num>
  <w:num w:numId="10">
    <w:abstractNumId w:val="13"/>
  </w:num>
  <w:num w:numId="11">
    <w:abstractNumId w:val="2"/>
  </w:num>
  <w:num w:numId="12">
    <w:abstractNumId w:val="20"/>
  </w:num>
  <w:num w:numId="13">
    <w:abstractNumId w:val="1"/>
  </w:num>
  <w:num w:numId="14">
    <w:abstractNumId w:val="9"/>
  </w:num>
  <w:num w:numId="15">
    <w:abstractNumId w:val="10"/>
  </w:num>
  <w:num w:numId="16">
    <w:abstractNumId w:val="15"/>
  </w:num>
  <w:num w:numId="17">
    <w:abstractNumId w:val="11"/>
  </w:num>
  <w:num w:numId="18">
    <w:abstractNumId w:val="6"/>
  </w:num>
  <w:num w:numId="19">
    <w:abstractNumId w:val="3"/>
  </w:num>
  <w:num w:numId="20">
    <w:abstractNumId w:val="24"/>
  </w:num>
  <w:num w:numId="21">
    <w:abstractNumId w:val="17"/>
  </w:num>
  <w:num w:numId="22">
    <w:abstractNumId w:val="12"/>
  </w:num>
  <w:num w:numId="23">
    <w:abstractNumId w:val="4"/>
  </w:num>
  <w:num w:numId="24">
    <w:abstractNumId w:val="8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87E40"/>
    <w:rsid w:val="000F21F0"/>
    <w:rsid w:val="001108A8"/>
    <w:rsid w:val="0011475F"/>
    <w:rsid w:val="00123381"/>
    <w:rsid w:val="00126D3F"/>
    <w:rsid w:val="00131B9E"/>
    <w:rsid w:val="00164DF1"/>
    <w:rsid w:val="00186A5F"/>
    <w:rsid w:val="00196343"/>
    <w:rsid w:val="001C2D07"/>
    <w:rsid w:val="001F622A"/>
    <w:rsid w:val="001F75BE"/>
    <w:rsid w:val="00221D86"/>
    <w:rsid w:val="00244639"/>
    <w:rsid w:val="00264EA1"/>
    <w:rsid w:val="002811D7"/>
    <w:rsid w:val="002A30CB"/>
    <w:rsid w:val="002F5F80"/>
    <w:rsid w:val="00304261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5EFA"/>
    <w:rsid w:val="004460AD"/>
    <w:rsid w:val="004462F3"/>
    <w:rsid w:val="00452DC7"/>
    <w:rsid w:val="00462F3C"/>
    <w:rsid w:val="00482D19"/>
    <w:rsid w:val="004850AB"/>
    <w:rsid w:val="0049027D"/>
    <w:rsid w:val="00494093"/>
    <w:rsid w:val="004B0D19"/>
    <w:rsid w:val="004B35A7"/>
    <w:rsid w:val="004C259A"/>
    <w:rsid w:val="00554E24"/>
    <w:rsid w:val="005B212F"/>
    <w:rsid w:val="005E301E"/>
    <w:rsid w:val="005E3694"/>
    <w:rsid w:val="005E5D30"/>
    <w:rsid w:val="005F6623"/>
    <w:rsid w:val="00602AC4"/>
    <w:rsid w:val="0063498A"/>
    <w:rsid w:val="00634DEE"/>
    <w:rsid w:val="006464A2"/>
    <w:rsid w:val="00693FB8"/>
    <w:rsid w:val="006B2673"/>
    <w:rsid w:val="006B39C8"/>
    <w:rsid w:val="006D1346"/>
    <w:rsid w:val="006E07FD"/>
    <w:rsid w:val="006E1881"/>
    <w:rsid w:val="006F6C7C"/>
    <w:rsid w:val="007009EE"/>
    <w:rsid w:val="00725A4D"/>
    <w:rsid w:val="007409E5"/>
    <w:rsid w:val="00744CCA"/>
    <w:rsid w:val="007674A3"/>
    <w:rsid w:val="00767591"/>
    <w:rsid w:val="0078342D"/>
    <w:rsid w:val="00793006"/>
    <w:rsid w:val="007C1696"/>
    <w:rsid w:val="007E2D0D"/>
    <w:rsid w:val="00827C96"/>
    <w:rsid w:val="00844EA0"/>
    <w:rsid w:val="008508C6"/>
    <w:rsid w:val="00857C67"/>
    <w:rsid w:val="00861CFA"/>
    <w:rsid w:val="00871052"/>
    <w:rsid w:val="0087736F"/>
    <w:rsid w:val="008A360B"/>
    <w:rsid w:val="008A6407"/>
    <w:rsid w:val="008B14DF"/>
    <w:rsid w:val="00904A63"/>
    <w:rsid w:val="0094395E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AD6AB9"/>
    <w:rsid w:val="00B25D4C"/>
    <w:rsid w:val="00B45DB5"/>
    <w:rsid w:val="00B65416"/>
    <w:rsid w:val="00B721E6"/>
    <w:rsid w:val="00B73C44"/>
    <w:rsid w:val="00B7608A"/>
    <w:rsid w:val="00B800D8"/>
    <w:rsid w:val="00B92DDF"/>
    <w:rsid w:val="00BD2D48"/>
    <w:rsid w:val="00C020BB"/>
    <w:rsid w:val="00C26C50"/>
    <w:rsid w:val="00C74D4B"/>
    <w:rsid w:val="00CA7665"/>
    <w:rsid w:val="00CC05C6"/>
    <w:rsid w:val="00CC6DC4"/>
    <w:rsid w:val="00CD6010"/>
    <w:rsid w:val="00CE0464"/>
    <w:rsid w:val="00CF10CE"/>
    <w:rsid w:val="00D10AC8"/>
    <w:rsid w:val="00D775E8"/>
    <w:rsid w:val="00DA136F"/>
    <w:rsid w:val="00DC4E02"/>
    <w:rsid w:val="00DE3722"/>
    <w:rsid w:val="00DF56A6"/>
    <w:rsid w:val="00E032F5"/>
    <w:rsid w:val="00E10441"/>
    <w:rsid w:val="00E34A08"/>
    <w:rsid w:val="00E36D04"/>
    <w:rsid w:val="00E56A9F"/>
    <w:rsid w:val="00E64B3F"/>
    <w:rsid w:val="00E67B23"/>
    <w:rsid w:val="00E700F0"/>
    <w:rsid w:val="00EB27EC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  <w:rsid w:val="00FF1FBE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5dunkelAkzent6">
    <w:name w:val="Grid Table 5 Dark Accent 6"/>
    <w:basedOn w:val="NormaleTabelle"/>
    <w:uiPriority w:val="50"/>
    <w:rsid w:val="007009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E6B65-BC4C-44FB-81A0-F3AF2119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8</cp:revision>
  <cp:lastPrinted>2021-04-20T12:49:00Z</cp:lastPrinted>
  <dcterms:created xsi:type="dcterms:W3CDTF">2021-01-13T14:11:00Z</dcterms:created>
  <dcterms:modified xsi:type="dcterms:W3CDTF">2021-04-20T12:52:00Z</dcterms:modified>
</cp:coreProperties>
</file>