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74BE" w:rsidRDefault="004274BE" w:rsidP="004274BE">
      <w:pPr>
        <w:ind w:left="-567" w:right="-740"/>
        <w:jc w:val="both"/>
      </w:pPr>
      <w:r>
        <w:t>Diese Checkliste fasst wichtige Voraussetzungen für den Betrieb gentechnischer Labore der Sicherheitsstufe 1 zusammen. Sie gilt nicht für Produktionsanlagen, Tierhaltungsräume, Klimakammern und Gewächshäuser. Aufgaben des Betreibers, der Projektleitung, des Beauftragten für Biologische Sicherheit (BBS) sowie Vorgaben zur Anzeige, Anmelde und Mitteilungspflichten werden nicht behandelt.</w:t>
      </w:r>
    </w:p>
    <w:tbl>
      <w:tblPr>
        <w:tblStyle w:val="Tabellenraster"/>
        <w:tblW w:w="15338" w:type="dxa"/>
        <w:tblInd w:w="-459" w:type="dxa"/>
        <w:tblLayout w:type="fixed"/>
        <w:tblLook w:val="04A0" w:firstRow="1" w:lastRow="0" w:firstColumn="1" w:lastColumn="0" w:noHBand="0" w:noVBand="1"/>
      </w:tblPr>
      <w:tblGrid>
        <w:gridCol w:w="2155"/>
        <w:gridCol w:w="6804"/>
        <w:gridCol w:w="426"/>
        <w:gridCol w:w="425"/>
        <w:gridCol w:w="567"/>
        <w:gridCol w:w="2693"/>
        <w:gridCol w:w="2268"/>
      </w:tblGrid>
      <w:tr w:rsidR="00122DED" w:rsidRPr="006E3AAA" w:rsidTr="00D2701E">
        <w:trPr>
          <w:trHeight w:val="383"/>
          <w:tblHeader/>
        </w:trPr>
        <w:tc>
          <w:tcPr>
            <w:tcW w:w="2155"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122DED" w:rsidRPr="006E3AAA" w:rsidRDefault="00122DED" w:rsidP="00AA6726">
            <w:pPr>
              <w:jc w:val="center"/>
              <w:rPr>
                <w:b/>
              </w:rPr>
            </w:pPr>
            <w:r>
              <w:rPr>
                <w:b/>
              </w:rPr>
              <w:t>Thema</w:t>
            </w:r>
          </w:p>
        </w:tc>
        <w:tc>
          <w:tcPr>
            <w:tcW w:w="6804"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122DED" w:rsidRDefault="00122DED" w:rsidP="008B3C83">
            <w:pPr>
              <w:pStyle w:val="Kopfzeile"/>
              <w:tabs>
                <w:tab w:val="clear" w:pos="9072"/>
              </w:tabs>
              <w:jc w:val="center"/>
              <w:rPr>
                <w:rFonts w:ascii="Arial" w:hAnsi="Arial" w:cs="Arial"/>
                <w:b/>
                <w:color w:val="000000"/>
                <w:sz w:val="20"/>
              </w:rPr>
            </w:pPr>
            <w:r>
              <w:rPr>
                <w:rFonts w:ascii="Arial" w:hAnsi="Arial" w:cs="Arial"/>
                <w:b/>
                <w:color w:val="000000"/>
                <w:sz w:val="20"/>
              </w:rPr>
              <w:t>Grundlegende Anforderungen</w:t>
            </w:r>
          </w:p>
          <w:p w:rsidR="00122DED" w:rsidRPr="00AA6726" w:rsidRDefault="00122DED" w:rsidP="008B3C83">
            <w:pPr>
              <w:jc w:val="center"/>
              <w:rPr>
                <w:b/>
                <w:sz w:val="16"/>
                <w:szCs w:val="16"/>
              </w:rPr>
            </w:pPr>
            <w:r w:rsidRPr="00AA6726">
              <w:rPr>
                <w:rFonts w:ascii="Arial" w:hAnsi="Arial" w:cs="Arial"/>
                <w:color w:val="000000"/>
                <w:sz w:val="16"/>
                <w:szCs w:val="16"/>
              </w:rPr>
              <w:t>Hinweis: Hierbei handelt es sich um Mindestanforderungen. Bei Beantwortung mit „nein“ besteht Handlungsbedarf.</w:t>
            </w:r>
          </w:p>
        </w:tc>
        <w:tc>
          <w:tcPr>
            <w:tcW w:w="1418"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122DED" w:rsidRPr="00F72971" w:rsidRDefault="00122DED" w:rsidP="00AA6726">
            <w:pPr>
              <w:contextualSpacing/>
              <w:jc w:val="center"/>
              <w:rPr>
                <w:b/>
                <w:sz w:val="20"/>
                <w:szCs w:val="20"/>
              </w:rPr>
            </w:pPr>
            <w:r>
              <w:rPr>
                <w:b/>
                <w:sz w:val="20"/>
                <w:szCs w:val="20"/>
              </w:rPr>
              <w:t>Erfüllt?</w:t>
            </w:r>
          </w:p>
        </w:tc>
        <w:tc>
          <w:tcPr>
            <w:tcW w:w="2693"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122DED" w:rsidRDefault="00122DED" w:rsidP="00A71746">
            <w:pPr>
              <w:jc w:val="center"/>
              <w:rPr>
                <w:b/>
              </w:rPr>
            </w:pPr>
            <w:r>
              <w:rPr>
                <w:b/>
              </w:rPr>
              <w:t>Mängel, Maßnahmen, Bemerkungen</w:t>
            </w:r>
          </w:p>
        </w:tc>
        <w:tc>
          <w:tcPr>
            <w:tcW w:w="2268" w:type="dxa"/>
            <w:vMerge w:val="restart"/>
            <w:tcBorders>
              <w:top w:val="single" w:sz="4" w:space="0" w:color="auto"/>
              <w:left w:val="single" w:sz="4" w:space="0" w:color="auto"/>
              <w:right w:val="single" w:sz="4" w:space="0" w:color="auto"/>
            </w:tcBorders>
            <w:shd w:val="clear" w:color="auto" w:fill="BFBFBF" w:themeFill="background1" w:themeFillShade="BF"/>
            <w:vAlign w:val="center"/>
          </w:tcPr>
          <w:p w:rsidR="00122DED" w:rsidRDefault="00122DED" w:rsidP="00A71746">
            <w:pPr>
              <w:jc w:val="center"/>
              <w:rPr>
                <w:b/>
              </w:rPr>
            </w:pPr>
            <w:r>
              <w:rPr>
                <w:b/>
              </w:rPr>
              <w:t>Erledigt?</w:t>
            </w:r>
          </w:p>
          <w:p w:rsidR="00122DED" w:rsidRPr="00A71746" w:rsidRDefault="00122DED" w:rsidP="006E2509">
            <w:pPr>
              <w:jc w:val="center"/>
              <w:rPr>
                <w:sz w:val="20"/>
                <w:szCs w:val="20"/>
              </w:rPr>
            </w:pPr>
            <w:r w:rsidRPr="00A71746">
              <w:rPr>
                <w:sz w:val="20"/>
                <w:szCs w:val="20"/>
              </w:rPr>
              <w:t>(</w:t>
            </w:r>
            <w:r>
              <w:rPr>
                <w:sz w:val="20"/>
                <w:szCs w:val="20"/>
              </w:rPr>
              <w:t>Name, Datum</w:t>
            </w:r>
          </w:p>
        </w:tc>
      </w:tr>
      <w:tr w:rsidR="00122DED" w:rsidRPr="006E3AAA" w:rsidTr="00D2701E">
        <w:trPr>
          <w:trHeight w:val="1125"/>
          <w:tblHeader/>
        </w:trPr>
        <w:tc>
          <w:tcPr>
            <w:tcW w:w="2155" w:type="dxa"/>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122DED" w:rsidRPr="006E3AAA" w:rsidRDefault="00122DED" w:rsidP="00AA6726">
            <w:pPr>
              <w:jc w:val="center"/>
              <w:rPr>
                <w:b/>
              </w:rPr>
            </w:pPr>
          </w:p>
        </w:tc>
        <w:tc>
          <w:tcPr>
            <w:tcW w:w="6804" w:type="dxa"/>
            <w:vMerge/>
            <w:tcBorders>
              <w:top w:val="single" w:sz="4" w:space="0" w:color="auto"/>
              <w:left w:val="single" w:sz="4" w:space="0" w:color="auto"/>
            </w:tcBorders>
            <w:shd w:val="clear" w:color="auto" w:fill="BFBFBF" w:themeFill="background1" w:themeFillShade="BF"/>
            <w:vAlign w:val="center"/>
          </w:tcPr>
          <w:p w:rsidR="00122DED" w:rsidRPr="006E3AAA" w:rsidRDefault="00122DED" w:rsidP="008B3C83">
            <w:pPr>
              <w:jc w:val="both"/>
              <w:rPr>
                <w:b/>
              </w:rPr>
            </w:pPr>
          </w:p>
        </w:tc>
        <w:tc>
          <w:tcPr>
            <w:tcW w:w="426" w:type="dxa"/>
            <w:tcBorders>
              <w:top w:val="single" w:sz="4" w:space="0" w:color="auto"/>
            </w:tcBorders>
            <w:shd w:val="clear" w:color="auto" w:fill="BFBFBF" w:themeFill="background1" w:themeFillShade="BF"/>
            <w:textDirection w:val="btLr"/>
            <w:vAlign w:val="center"/>
          </w:tcPr>
          <w:p w:rsidR="00122DED" w:rsidRPr="00F72971" w:rsidRDefault="00122DED" w:rsidP="00AA6726">
            <w:pPr>
              <w:ind w:left="113" w:right="113"/>
              <w:contextualSpacing/>
              <w:jc w:val="center"/>
              <w:rPr>
                <w:b/>
                <w:sz w:val="20"/>
                <w:szCs w:val="20"/>
              </w:rPr>
            </w:pPr>
            <w:r w:rsidRPr="00F72971">
              <w:rPr>
                <w:b/>
                <w:sz w:val="20"/>
                <w:szCs w:val="20"/>
              </w:rPr>
              <w:t>ja</w:t>
            </w:r>
          </w:p>
        </w:tc>
        <w:tc>
          <w:tcPr>
            <w:tcW w:w="425" w:type="dxa"/>
            <w:tcBorders>
              <w:top w:val="single" w:sz="4" w:space="0" w:color="auto"/>
            </w:tcBorders>
            <w:shd w:val="clear" w:color="auto" w:fill="BFBFBF" w:themeFill="background1" w:themeFillShade="BF"/>
            <w:textDirection w:val="btLr"/>
            <w:vAlign w:val="center"/>
          </w:tcPr>
          <w:p w:rsidR="00122DED" w:rsidRPr="00F72971" w:rsidRDefault="00122DED" w:rsidP="00AA6726">
            <w:pPr>
              <w:ind w:left="113" w:right="113"/>
              <w:contextualSpacing/>
              <w:jc w:val="center"/>
              <w:rPr>
                <w:b/>
                <w:sz w:val="20"/>
                <w:szCs w:val="20"/>
              </w:rPr>
            </w:pPr>
            <w:r w:rsidRPr="00F72971">
              <w:rPr>
                <w:b/>
                <w:sz w:val="20"/>
                <w:szCs w:val="20"/>
              </w:rPr>
              <w:t>nein</w:t>
            </w:r>
          </w:p>
        </w:tc>
        <w:tc>
          <w:tcPr>
            <w:tcW w:w="567" w:type="dxa"/>
            <w:tcBorders>
              <w:top w:val="single" w:sz="4" w:space="0" w:color="auto"/>
            </w:tcBorders>
            <w:shd w:val="clear" w:color="auto" w:fill="BFBFBF" w:themeFill="background1" w:themeFillShade="BF"/>
            <w:textDirection w:val="btLr"/>
            <w:vAlign w:val="center"/>
          </w:tcPr>
          <w:p w:rsidR="00122DED" w:rsidRPr="00F72971" w:rsidRDefault="00122DED" w:rsidP="00AA6726">
            <w:pPr>
              <w:ind w:left="113" w:right="113"/>
              <w:contextualSpacing/>
              <w:jc w:val="center"/>
              <w:rPr>
                <w:b/>
                <w:sz w:val="20"/>
                <w:szCs w:val="20"/>
              </w:rPr>
            </w:pPr>
            <w:r w:rsidRPr="00F72971">
              <w:rPr>
                <w:b/>
                <w:sz w:val="20"/>
                <w:szCs w:val="20"/>
              </w:rPr>
              <w:t>Nicht zutreffend</w:t>
            </w:r>
          </w:p>
        </w:tc>
        <w:tc>
          <w:tcPr>
            <w:tcW w:w="2693" w:type="dxa"/>
            <w:vMerge/>
            <w:tcBorders>
              <w:top w:val="single" w:sz="4" w:space="0" w:color="auto"/>
              <w:right w:val="single" w:sz="4" w:space="0" w:color="auto"/>
            </w:tcBorders>
            <w:shd w:val="clear" w:color="auto" w:fill="BFBFBF" w:themeFill="background1" w:themeFillShade="BF"/>
            <w:vAlign w:val="center"/>
          </w:tcPr>
          <w:p w:rsidR="00122DED" w:rsidRPr="00945B29" w:rsidRDefault="00122DED" w:rsidP="00AA6726">
            <w:pPr>
              <w:rPr>
                <w:b/>
              </w:rPr>
            </w:pPr>
          </w:p>
        </w:tc>
        <w:tc>
          <w:tcPr>
            <w:tcW w:w="2268" w:type="dxa"/>
            <w:vMerge/>
            <w:tcBorders>
              <w:left w:val="single" w:sz="4" w:space="0" w:color="auto"/>
              <w:right w:val="single" w:sz="4" w:space="0" w:color="auto"/>
            </w:tcBorders>
            <w:shd w:val="clear" w:color="auto" w:fill="BFBFBF" w:themeFill="background1" w:themeFillShade="BF"/>
          </w:tcPr>
          <w:p w:rsidR="00122DED" w:rsidRPr="00945B29" w:rsidRDefault="00122DED" w:rsidP="00AA6726">
            <w:pPr>
              <w:rPr>
                <w:b/>
              </w:rPr>
            </w:pPr>
          </w:p>
        </w:tc>
      </w:tr>
      <w:tr w:rsidR="00122DED" w:rsidRPr="00F13B67" w:rsidTr="00D2701E">
        <w:tc>
          <w:tcPr>
            <w:tcW w:w="15338" w:type="dxa"/>
            <w:gridSpan w:val="7"/>
            <w:shd w:val="clear" w:color="auto" w:fill="D9D9D9" w:themeFill="background1" w:themeFillShade="D9"/>
            <w:vAlign w:val="center"/>
          </w:tcPr>
          <w:p w:rsidR="00122DED" w:rsidRPr="006925C1" w:rsidRDefault="00122DED" w:rsidP="006925C1">
            <w:pPr>
              <w:ind w:left="360"/>
              <w:rPr>
                <w:b/>
              </w:rPr>
            </w:pPr>
            <w:r w:rsidRPr="006925C1">
              <w:rPr>
                <w:b/>
              </w:rPr>
              <w:t>Allgemein</w:t>
            </w:r>
          </w:p>
        </w:tc>
      </w:tr>
      <w:tr w:rsidR="002310AB" w:rsidRPr="00F13B67" w:rsidTr="00876701">
        <w:trPr>
          <w:trHeight w:val="1764"/>
        </w:trPr>
        <w:tc>
          <w:tcPr>
            <w:tcW w:w="15338" w:type="dxa"/>
            <w:gridSpan w:val="7"/>
            <w:shd w:val="clear" w:color="auto" w:fill="auto"/>
            <w:vAlign w:val="center"/>
          </w:tcPr>
          <w:p w:rsidR="002310AB" w:rsidRDefault="002310AB" w:rsidP="002310AB">
            <w:pPr>
              <w:pStyle w:val="Listenabsatz"/>
              <w:numPr>
                <w:ilvl w:val="0"/>
                <w:numId w:val="36"/>
              </w:numPr>
              <w:ind w:left="345"/>
            </w:pPr>
            <w:r>
              <w:t xml:space="preserve">In Laboren mit Umgang mit Gefahrstoffen (flüssig, fest, Gase, Dämpfe), physikalischen (Laser, UV, IR, Röntgen, Radioaktivität) elektrischen und/oder mechanischen Gefährdungen ist unbedingt auch die GöGebS </w:t>
            </w:r>
            <w:r w:rsidRPr="00D70147">
              <w:rPr>
                <w:i/>
              </w:rPr>
              <w:t>Checkliste Tätigkeitsbereich Labor (chemische, physikalisch)</w:t>
            </w:r>
            <w:r>
              <w:t xml:space="preserve"> auszufüllen! Dies ist so gut wie für jedes Labor der Fall!</w:t>
            </w:r>
          </w:p>
          <w:p w:rsidR="007C7FA9" w:rsidRDefault="002310AB" w:rsidP="007C7FA9">
            <w:pPr>
              <w:pStyle w:val="Listenabsatz"/>
              <w:numPr>
                <w:ilvl w:val="0"/>
                <w:numId w:val="36"/>
              </w:numPr>
              <w:ind w:left="345"/>
            </w:pPr>
            <w:r>
              <w:t>Bitte denken Sie daran, dass eventuell weitere Gesetze/ Verordnungen betroffen sind und sich daraus Pflichten ergeben. Beispiele:</w:t>
            </w:r>
          </w:p>
          <w:p w:rsidR="007C7FA9" w:rsidRDefault="002310AB" w:rsidP="007C7FA9">
            <w:pPr>
              <w:pStyle w:val="Listenabsatz"/>
              <w:numPr>
                <w:ilvl w:val="1"/>
                <w:numId w:val="36"/>
              </w:numPr>
              <w:ind w:left="629"/>
            </w:pPr>
            <w:r>
              <w:t xml:space="preserve">Biostoffverordnung: </w:t>
            </w:r>
            <w:r w:rsidR="007C7FA9">
              <w:t>Erstellung einer Gefährdungsbeurteilung ab S1</w:t>
            </w:r>
          </w:p>
          <w:p w:rsidR="002310AB" w:rsidRDefault="002310AB" w:rsidP="007C7FA9">
            <w:pPr>
              <w:pStyle w:val="Listenabsatz"/>
              <w:numPr>
                <w:ilvl w:val="1"/>
                <w:numId w:val="36"/>
              </w:numPr>
              <w:ind w:left="629"/>
            </w:pPr>
            <w:r>
              <w:t>Tierseuchenerregerverordnung: Erlaubnis und</w:t>
            </w:r>
            <w:r w:rsidR="007C7FA9">
              <w:t>/oder</w:t>
            </w:r>
            <w:r>
              <w:t xml:space="preserve"> Anzeige bei Arbeiten mit</w:t>
            </w:r>
            <w:r w:rsidR="007C7FA9">
              <w:t xml:space="preserve"> entsprechenden</w:t>
            </w:r>
            <w:r>
              <w:t xml:space="preserve"> Erregern</w:t>
            </w:r>
          </w:p>
          <w:p w:rsidR="00E90A29" w:rsidRPr="00C16D92" w:rsidRDefault="007C7FA9" w:rsidP="00876701">
            <w:pPr>
              <w:pStyle w:val="Listenabsatz"/>
              <w:numPr>
                <w:ilvl w:val="1"/>
                <w:numId w:val="36"/>
              </w:numPr>
              <w:ind w:left="629"/>
            </w:pPr>
            <w:r>
              <w:rPr>
                <w:rFonts w:ascii="Calibri" w:hAnsi="Calibri" w:cs="Calibri"/>
              </w:rPr>
              <w:t>EU Verordnung 2016/2031 über Maßnahmen zum Schutz von Pflanzenschädlingen: Erlaubnispflicht und geschlossene Anlagen</w:t>
            </w:r>
          </w:p>
        </w:tc>
      </w:tr>
      <w:tr w:rsidR="00122DED" w:rsidRPr="00F13B67" w:rsidTr="00D2701E">
        <w:tc>
          <w:tcPr>
            <w:tcW w:w="15338" w:type="dxa"/>
            <w:gridSpan w:val="7"/>
            <w:shd w:val="clear" w:color="auto" w:fill="D9D9D9" w:themeFill="background1" w:themeFillShade="D9"/>
            <w:vAlign w:val="center"/>
          </w:tcPr>
          <w:p w:rsidR="00122DED" w:rsidRPr="006925C1" w:rsidRDefault="00122DED" w:rsidP="006925C1">
            <w:pPr>
              <w:ind w:left="360"/>
              <w:rPr>
                <w:b/>
              </w:rPr>
            </w:pPr>
            <w:r w:rsidRPr="006925C1">
              <w:rPr>
                <w:b/>
              </w:rPr>
              <w:t>Kennzeichnung/Zutritt</w:t>
            </w:r>
          </w:p>
        </w:tc>
      </w:tr>
      <w:tr w:rsidR="00122DED" w:rsidTr="006925C1">
        <w:tc>
          <w:tcPr>
            <w:tcW w:w="2155" w:type="dxa"/>
            <w:vAlign w:val="center"/>
          </w:tcPr>
          <w:p w:rsidR="00122DED" w:rsidRPr="00740C10" w:rsidRDefault="00122DED" w:rsidP="006925C1">
            <w:pPr>
              <w:ind w:left="33"/>
            </w:pPr>
            <w:r>
              <w:t>Kennzeichnung der Räume</w:t>
            </w:r>
          </w:p>
        </w:tc>
        <w:tc>
          <w:tcPr>
            <w:tcW w:w="6804" w:type="dxa"/>
          </w:tcPr>
          <w:p w:rsidR="00122DED" w:rsidRDefault="00122DED" w:rsidP="008B3C83">
            <w:pPr>
              <w:jc w:val="both"/>
            </w:pPr>
            <w:r>
              <w:t xml:space="preserve">Kennzeichnung als Gentechnik Arbeitsbereich [mittels geprägtem Metallschild] und dem Gefahrengruppen-Schild „BIO I“ [Beides über Stabsstelle S erhältlich]. </w:t>
            </w:r>
            <w:r w:rsidRPr="009D666A">
              <w:rPr>
                <w:u w:val="single"/>
              </w:rPr>
              <w:t>Keine</w:t>
            </w:r>
            <w:r>
              <w:t xml:space="preserve"> Kennzeichnung mit dem Warnzeichen „Biogefährdung“, außer dies ist durch die </w:t>
            </w:r>
            <w:proofErr w:type="spellStart"/>
            <w:r>
              <w:t>BiostoffV</w:t>
            </w:r>
            <w:proofErr w:type="spellEnd"/>
            <w:r>
              <w:t xml:space="preserve"> gefordert.</w:t>
            </w:r>
          </w:p>
        </w:tc>
        <w:sdt>
          <w:sdtPr>
            <w:id w:val="-188989241"/>
            <w14:checkbox>
              <w14:checked w14:val="0"/>
              <w14:checkedState w14:val="2612" w14:font="MS Gothic"/>
              <w14:uncheckedState w14:val="2610" w14:font="MS Gothic"/>
            </w14:checkbox>
          </w:sdtPr>
          <w:sdtEndPr/>
          <w:sdtContent>
            <w:tc>
              <w:tcPr>
                <w:tcW w:w="426" w:type="dxa"/>
                <w:vAlign w:val="center"/>
              </w:tcPr>
              <w:p w:rsidR="00122DED" w:rsidRDefault="007D7305" w:rsidP="00AA6726">
                <w:pPr>
                  <w:jc w:val="center"/>
                </w:pPr>
                <w:r>
                  <w:rPr>
                    <w:rFonts w:ascii="MS Gothic" w:eastAsia="MS Gothic" w:hAnsi="MS Gothic" w:hint="eastAsia"/>
                  </w:rPr>
                  <w:t>☐</w:t>
                </w:r>
              </w:p>
            </w:tc>
          </w:sdtContent>
        </w:sdt>
        <w:sdt>
          <w:sdtPr>
            <w:id w:val="-1398123277"/>
            <w14:checkbox>
              <w14:checked w14:val="0"/>
              <w14:checkedState w14:val="2612" w14:font="MS Gothic"/>
              <w14:uncheckedState w14:val="2610" w14:font="MS Gothic"/>
            </w14:checkbox>
          </w:sdtPr>
          <w:sdtEndPr/>
          <w:sdtContent>
            <w:tc>
              <w:tcPr>
                <w:tcW w:w="425" w:type="dxa"/>
                <w:vAlign w:val="center"/>
              </w:tcPr>
              <w:p w:rsidR="00122DED" w:rsidRDefault="00122DED" w:rsidP="00D70147">
                <w:pPr>
                  <w:jc w:val="center"/>
                </w:pPr>
                <w:r>
                  <w:rPr>
                    <w:rFonts w:ascii="MS Gothic" w:eastAsia="MS Gothic" w:hAnsi="MS Gothic" w:hint="eastAsia"/>
                  </w:rPr>
                  <w:t>☐</w:t>
                </w:r>
              </w:p>
            </w:tc>
          </w:sdtContent>
        </w:sdt>
        <w:sdt>
          <w:sdtPr>
            <w:id w:val="1217705510"/>
            <w14:checkbox>
              <w14:checked w14:val="0"/>
              <w14:checkedState w14:val="2612" w14:font="MS Gothic"/>
              <w14:uncheckedState w14:val="2610" w14:font="MS Gothic"/>
            </w14:checkbox>
          </w:sdtPr>
          <w:sdtEndPr/>
          <w:sdtContent>
            <w:tc>
              <w:tcPr>
                <w:tcW w:w="567" w:type="dxa"/>
                <w:vAlign w:val="center"/>
              </w:tcPr>
              <w:p w:rsidR="00122DED" w:rsidRDefault="00122DED" w:rsidP="00D70147">
                <w:pPr>
                  <w:jc w:val="center"/>
                </w:pPr>
                <w:r>
                  <w:rPr>
                    <w:rFonts w:ascii="MS Gothic" w:eastAsia="MS Gothic" w:hAnsi="MS Gothic" w:hint="eastAsia"/>
                  </w:rPr>
                  <w:t>☐</w:t>
                </w:r>
              </w:p>
            </w:tc>
          </w:sdtContent>
        </w:sdt>
        <w:tc>
          <w:tcPr>
            <w:tcW w:w="2693" w:type="dxa"/>
            <w:vAlign w:val="center"/>
          </w:tcPr>
          <w:p w:rsidR="00122DED" w:rsidRDefault="00122DED" w:rsidP="00AA6726"/>
        </w:tc>
        <w:tc>
          <w:tcPr>
            <w:tcW w:w="2268" w:type="dxa"/>
          </w:tcPr>
          <w:p w:rsidR="00122DED" w:rsidRDefault="00122DED" w:rsidP="00AA6726"/>
        </w:tc>
      </w:tr>
      <w:tr w:rsidR="00055D7B" w:rsidTr="005A50DB">
        <w:tc>
          <w:tcPr>
            <w:tcW w:w="2155" w:type="dxa"/>
            <w:vAlign w:val="center"/>
          </w:tcPr>
          <w:p w:rsidR="00055D7B" w:rsidRDefault="00055D7B" w:rsidP="006925C1">
            <w:pPr>
              <w:ind w:left="33"/>
            </w:pPr>
            <w:r>
              <w:t>Zutritts-beschränkung</w:t>
            </w:r>
          </w:p>
        </w:tc>
        <w:tc>
          <w:tcPr>
            <w:tcW w:w="8222" w:type="dxa"/>
            <w:gridSpan w:val="4"/>
          </w:tcPr>
          <w:p w:rsidR="00055D7B" w:rsidRDefault="00055D7B" w:rsidP="00055D7B">
            <w:pPr>
              <w:jc w:val="both"/>
            </w:pPr>
            <w:r>
              <w:t>Info: Bei S1 keine besondere Beschränkung nach GenTSV. [Achtung: giftige Gefahrstoffe müssen verschlossen aufbewahrt werden!]</w:t>
            </w:r>
          </w:p>
        </w:tc>
        <w:tc>
          <w:tcPr>
            <w:tcW w:w="2693" w:type="dxa"/>
            <w:vAlign w:val="center"/>
          </w:tcPr>
          <w:p w:rsidR="00055D7B" w:rsidRDefault="00055D7B" w:rsidP="00AA6726"/>
        </w:tc>
        <w:tc>
          <w:tcPr>
            <w:tcW w:w="2268" w:type="dxa"/>
          </w:tcPr>
          <w:p w:rsidR="00055D7B" w:rsidRDefault="00055D7B" w:rsidP="00AA6726"/>
        </w:tc>
      </w:tr>
      <w:tr w:rsidR="00122DED" w:rsidRPr="00F13B67" w:rsidTr="00D2701E">
        <w:tc>
          <w:tcPr>
            <w:tcW w:w="15338" w:type="dxa"/>
            <w:gridSpan w:val="7"/>
            <w:shd w:val="clear" w:color="auto" w:fill="D9D9D9" w:themeFill="background1" w:themeFillShade="D9"/>
            <w:vAlign w:val="center"/>
          </w:tcPr>
          <w:p w:rsidR="00122DED" w:rsidRPr="006925C1" w:rsidRDefault="00122DED" w:rsidP="006925C1">
            <w:pPr>
              <w:ind w:left="360"/>
              <w:rPr>
                <w:b/>
              </w:rPr>
            </w:pPr>
            <w:r w:rsidRPr="006925C1">
              <w:rPr>
                <w:b/>
              </w:rPr>
              <w:t>Bauliche/technische Anforderungen</w:t>
            </w:r>
          </w:p>
        </w:tc>
      </w:tr>
      <w:tr w:rsidR="00122DED" w:rsidTr="006925C1">
        <w:trPr>
          <w:trHeight w:val="625"/>
        </w:trPr>
        <w:tc>
          <w:tcPr>
            <w:tcW w:w="2155" w:type="dxa"/>
            <w:vMerge w:val="restart"/>
            <w:vAlign w:val="center"/>
          </w:tcPr>
          <w:p w:rsidR="00122DED" w:rsidRDefault="00122DED" w:rsidP="006925C1">
            <w:pPr>
              <w:ind w:left="15"/>
            </w:pPr>
            <w:r>
              <w:t>Oberflächen</w:t>
            </w:r>
          </w:p>
        </w:tc>
        <w:tc>
          <w:tcPr>
            <w:tcW w:w="6804" w:type="dxa"/>
          </w:tcPr>
          <w:p w:rsidR="00122DED" w:rsidRDefault="00122DED" w:rsidP="00E90A29">
            <w:pPr>
              <w:pStyle w:val="Listenabsatz"/>
              <w:numPr>
                <w:ilvl w:val="0"/>
                <w:numId w:val="6"/>
              </w:numPr>
              <w:ind w:left="360"/>
              <w:jc w:val="both"/>
            </w:pPr>
            <w:r>
              <w:t xml:space="preserve">Arbeitsflächen und an </w:t>
            </w:r>
            <w:r w:rsidR="00D907C4">
              <w:t>diese angrenzenden Flächen</w:t>
            </w:r>
            <w:r>
              <w:t xml:space="preserve"> (Wand, Fußboden, Mobiliar)</w:t>
            </w:r>
            <w:r w:rsidRPr="00EB7620">
              <w:t xml:space="preserve"> sollen leicht zu reinigen und beständig gegen</w:t>
            </w:r>
            <w:r>
              <w:t>über den</w:t>
            </w:r>
            <w:r w:rsidRPr="00EB7620">
              <w:t xml:space="preserve"> verwendeten S</w:t>
            </w:r>
            <w:r>
              <w:t xml:space="preserve">toffen und Reinigungsmittel sein. </w:t>
            </w:r>
          </w:p>
        </w:tc>
        <w:sdt>
          <w:sdtPr>
            <w:id w:val="-1434896299"/>
            <w14:checkbox>
              <w14:checked w14:val="0"/>
              <w14:checkedState w14:val="2612" w14:font="MS Gothic"/>
              <w14:uncheckedState w14:val="2610" w14:font="MS Gothic"/>
            </w14:checkbox>
          </w:sdtPr>
          <w:sdtEndPr/>
          <w:sdtContent>
            <w:tc>
              <w:tcPr>
                <w:tcW w:w="426" w:type="dxa"/>
                <w:vAlign w:val="center"/>
              </w:tcPr>
              <w:p w:rsidR="00122DED" w:rsidRDefault="007D7305" w:rsidP="004419BF">
                <w:pPr>
                  <w:jc w:val="center"/>
                </w:pPr>
                <w:r>
                  <w:rPr>
                    <w:rFonts w:ascii="MS Gothic" w:eastAsia="MS Gothic" w:hAnsi="MS Gothic" w:hint="eastAsia"/>
                  </w:rPr>
                  <w:t>☐</w:t>
                </w:r>
              </w:p>
            </w:tc>
          </w:sdtContent>
        </w:sdt>
        <w:sdt>
          <w:sdtPr>
            <w:id w:val="1847673289"/>
            <w14:checkbox>
              <w14:checked w14:val="0"/>
              <w14:checkedState w14:val="2612" w14:font="MS Gothic"/>
              <w14:uncheckedState w14:val="2610" w14:font="MS Gothic"/>
            </w14:checkbox>
          </w:sdtPr>
          <w:sdtEndPr/>
          <w:sdtContent>
            <w:tc>
              <w:tcPr>
                <w:tcW w:w="425" w:type="dxa"/>
                <w:vAlign w:val="center"/>
              </w:tcPr>
              <w:p w:rsidR="00122DED" w:rsidRDefault="00122DED" w:rsidP="004419BF">
                <w:pPr>
                  <w:jc w:val="center"/>
                </w:pPr>
                <w:r>
                  <w:rPr>
                    <w:rFonts w:ascii="MS Gothic" w:eastAsia="MS Gothic" w:hAnsi="MS Gothic" w:hint="eastAsia"/>
                  </w:rPr>
                  <w:t>☐</w:t>
                </w:r>
              </w:p>
            </w:tc>
          </w:sdtContent>
        </w:sdt>
        <w:sdt>
          <w:sdtPr>
            <w:id w:val="-542358986"/>
            <w14:checkbox>
              <w14:checked w14:val="0"/>
              <w14:checkedState w14:val="2612" w14:font="MS Gothic"/>
              <w14:uncheckedState w14:val="2610" w14:font="MS Gothic"/>
            </w14:checkbox>
          </w:sdtPr>
          <w:sdtEndPr/>
          <w:sdtContent>
            <w:tc>
              <w:tcPr>
                <w:tcW w:w="567" w:type="dxa"/>
                <w:vAlign w:val="center"/>
              </w:tcPr>
              <w:p w:rsidR="00122DED" w:rsidRDefault="00122DED" w:rsidP="004419BF">
                <w:pPr>
                  <w:jc w:val="center"/>
                </w:pPr>
                <w:r>
                  <w:rPr>
                    <w:rFonts w:ascii="MS Gothic" w:eastAsia="MS Gothic" w:hAnsi="MS Gothic" w:hint="eastAsia"/>
                  </w:rPr>
                  <w:t>☐</w:t>
                </w:r>
              </w:p>
            </w:tc>
          </w:sdtContent>
        </w:sdt>
        <w:tc>
          <w:tcPr>
            <w:tcW w:w="2693" w:type="dxa"/>
            <w:vMerge w:val="restart"/>
            <w:vAlign w:val="center"/>
          </w:tcPr>
          <w:p w:rsidR="00122DED" w:rsidRDefault="00122DED" w:rsidP="00AA6726"/>
        </w:tc>
        <w:tc>
          <w:tcPr>
            <w:tcW w:w="2268" w:type="dxa"/>
          </w:tcPr>
          <w:p w:rsidR="00122DED" w:rsidRDefault="00122DED" w:rsidP="00AA6726"/>
        </w:tc>
      </w:tr>
      <w:tr w:rsidR="00122DED" w:rsidTr="00D2701E">
        <w:trPr>
          <w:trHeight w:val="625"/>
        </w:trPr>
        <w:tc>
          <w:tcPr>
            <w:tcW w:w="2155" w:type="dxa"/>
            <w:vMerge/>
          </w:tcPr>
          <w:p w:rsidR="00122DED" w:rsidRDefault="00122DED" w:rsidP="00AA6726">
            <w:pPr>
              <w:pStyle w:val="Listenabsatz"/>
              <w:numPr>
                <w:ilvl w:val="1"/>
                <w:numId w:val="15"/>
              </w:numPr>
            </w:pPr>
          </w:p>
        </w:tc>
        <w:tc>
          <w:tcPr>
            <w:tcW w:w="6804" w:type="dxa"/>
          </w:tcPr>
          <w:p w:rsidR="00122DED" w:rsidRPr="00EB7620" w:rsidRDefault="00E90A29" w:rsidP="00E90A29">
            <w:pPr>
              <w:pStyle w:val="Listenabsatz"/>
              <w:numPr>
                <w:ilvl w:val="0"/>
                <w:numId w:val="15"/>
              </w:numPr>
              <w:jc w:val="both"/>
            </w:pPr>
            <w:r>
              <w:t>Geflieste Oberflächen sind wegen der Fugen problematisch, diese sollten versiegelt werden.</w:t>
            </w:r>
          </w:p>
        </w:tc>
        <w:sdt>
          <w:sdtPr>
            <w:id w:val="484046487"/>
            <w14:checkbox>
              <w14:checked w14:val="0"/>
              <w14:checkedState w14:val="2612" w14:font="MS Gothic"/>
              <w14:uncheckedState w14:val="2610" w14:font="MS Gothic"/>
            </w14:checkbox>
          </w:sdtPr>
          <w:sdtEndPr/>
          <w:sdtContent>
            <w:tc>
              <w:tcPr>
                <w:tcW w:w="426" w:type="dxa"/>
                <w:vAlign w:val="center"/>
              </w:tcPr>
              <w:p w:rsidR="00122DED" w:rsidRDefault="00122DED" w:rsidP="004419BF">
                <w:pPr>
                  <w:jc w:val="center"/>
                </w:pPr>
                <w:r>
                  <w:rPr>
                    <w:rFonts w:ascii="MS Gothic" w:eastAsia="MS Gothic" w:hAnsi="MS Gothic" w:hint="eastAsia"/>
                  </w:rPr>
                  <w:t>☐</w:t>
                </w:r>
              </w:p>
            </w:tc>
          </w:sdtContent>
        </w:sdt>
        <w:sdt>
          <w:sdtPr>
            <w:id w:val="1586419231"/>
            <w14:checkbox>
              <w14:checked w14:val="0"/>
              <w14:checkedState w14:val="2612" w14:font="MS Gothic"/>
              <w14:uncheckedState w14:val="2610" w14:font="MS Gothic"/>
            </w14:checkbox>
          </w:sdtPr>
          <w:sdtEndPr/>
          <w:sdtContent>
            <w:tc>
              <w:tcPr>
                <w:tcW w:w="425" w:type="dxa"/>
                <w:vAlign w:val="center"/>
              </w:tcPr>
              <w:p w:rsidR="00122DED" w:rsidRDefault="00122DED" w:rsidP="004419BF">
                <w:pPr>
                  <w:jc w:val="center"/>
                </w:pPr>
                <w:r>
                  <w:rPr>
                    <w:rFonts w:ascii="MS Gothic" w:eastAsia="MS Gothic" w:hAnsi="MS Gothic" w:hint="eastAsia"/>
                  </w:rPr>
                  <w:t>☐</w:t>
                </w:r>
              </w:p>
            </w:tc>
          </w:sdtContent>
        </w:sdt>
        <w:sdt>
          <w:sdtPr>
            <w:id w:val="1389687101"/>
            <w14:checkbox>
              <w14:checked w14:val="0"/>
              <w14:checkedState w14:val="2612" w14:font="MS Gothic"/>
              <w14:uncheckedState w14:val="2610" w14:font="MS Gothic"/>
            </w14:checkbox>
          </w:sdtPr>
          <w:sdtEndPr/>
          <w:sdtContent>
            <w:tc>
              <w:tcPr>
                <w:tcW w:w="567" w:type="dxa"/>
                <w:vAlign w:val="center"/>
              </w:tcPr>
              <w:p w:rsidR="00122DED" w:rsidRDefault="007D7305" w:rsidP="004419BF">
                <w:pPr>
                  <w:jc w:val="center"/>
                </w:pPr>
                <w:r>
                  <w:rPr>
                    <w:rFonts w:ascii="MS Gothic" w:eastAsia="MS Gothic" w:hAnsi="MS Gothic" w:hint="eastAsia"/>
                  </w:rPr>
                  <w:t>☐</w:t>
                </w:r>
              </w:p>
            </w:tc>
          </w:sdtContent>
        </w:sdt>
        <w:tc>
          <w:tcPr>
            <w:tcW w:w="2693" w:type="dxa"/>
            <w:vMerge/>
            <w:vAlign w:val="center"/>
          </w:tcPr>
          <w:p w:rsidR="00122DED" w:rsidRDefault="00122DED" w:rsidP="00AA6726"/>
        </w:tc>
        <w:tc>
          <w:tcPr>
            <w:tcW w:w="2268" w:type="dxa"/>
          </w:tcPr>
          <w:p w:rsidR="00122DED" w:rsidRDefault="00122DED" w:rsidP="00AA6726"/>
        </w:tc>
      </w:tr>
      <w:tr w:rsidR="00122DED" w:rsidTr="00D2701E">
        <w:trPr>
          <w:trHeight w:val="625"/>
        </w:trPr>
        <w:tc>
          <w:tcPr>
            <w:tcW w:w="2155" w:type="dxa"/>
            <w:vMerge/>
          </w:tcPr>
          <w:p w:rsidR="00122DED" w:rsidRDefault="00122DED" w:rsidP="00AA6726">
            <w:pPr>
              <w:pStyle w:val="Listenabsatz"/>
              <w:numPr>
                <w:ilvl w:val="1"/>
                <w:numId w:val="15"/>
              </w:numPr>
            </w:pPr>
          </w:p>
        </w:tc>
        <w:tc>
          <w:tcPr>
            <w:tcW w:w="6804" w:type="dxa"/>
          </w:tcPr>
          <w:p w:rsidR="00122DED" w:rsidRPr="00EB7620" w:rsidRDefault="00E90A29" w:rsidP="00E90A29">
            <w:pPr>
              <w:pStyle w:val="Listenabsatz"/>
              <w:numPr>
                <w:ilvl w:val="0"/>
                <w:numId w:val="15"/>
              </w:numPr>
              <w:jc w:val="both"/>
            </w:pPr>
            <w:r>
              <w:t>Keine stoffbezogenen Stühle, Holz nur lackiert, keine beschädigten Oberflächen.</w:t>
            </w:r>
          </w:p>
        </w:tc>
        <w:sdt>
          <w:sdtPr>
            <w:id w:val="-1280098603"/>
            <w14:checkbox>
              <w14:checked w14:val="0"/>
              <w14:checkedState w14:val="2612" w14:font="MS Gothic"/>
              <w14:uncheckedState w14:val="2610" w14:font="MS Gothic"/>
            </w14:checkbox>
          </w:sdtPr>
          <w:sdtEndPr/>
          <w:sdtContent>
            <w:tc>
              <w:tcPr>
                <w:tcW w:w="426" w:type="dxa"/>
                <w:vAlign w:val="center"/>
              </w:tcPr>
              <w:p w:rsidR="00122DED" w:rsidRDefault="007D7305" w:rsidP="004419BF">
                <w:pPr>
                  <w:jc w:val="center"/>
                </w:pPr>
                <w:r>
                  <w:rPr>
                    <w:rFonts w:ascii="MS Gothic" w:eastAsia="MS Gothic" w:hAnsi="MS Gothic" w:hint="eastAsia"/>
                  </w:rPr>
                  <w:t>☐</w:t>
                </w:r>
              </w:p>
            </w:tc>
          </w:sdtContent>
        </w:sdt>
        <w:sdt>
          <w:sdtPr>
            <w:id w:val="-1543052966"/>
            <w14:checkbox>
              <w14:checked w14:val="0"/>
              <w14:checkedState w14:val="2612" w14:font="MS Gothic"/>
              <w14:uncheckedState w14:val="2610" w14:font="MS Gothic"/>
            </w14:checkbox>
          </w:sdtPr>
          <w:sdtEndPr/>
          <w:sdtContent>
            <w:tc>
              <w:tcPr>
                <w:tcW w:w="425" w:type="dxa"/>
                <w:vAlign w:val="center"/>
              </w:tcPr>
              <w:p w:rsidR="00122DED" w:rsidRDefault="00122DED" w:rsidP="004419BF">
                <w:pPr>
                  <w:jc w:val="center"/>
                </w:pPr>
                <w:r>
                  <w:rPr>
                    <w:rFonts w:ascii="MS Gothic" w:eastAsia="MS Gothic" w:hAnsi="MS Gothic" w:hint="eastAsia"/>
                  </w:rPr>
                  <w:t>☐</w:t>
                </w:r>
              </w:p>
            </w:tc>
          </w:sdtContent>
        </w:sdt>
        <w:sdt>
          <w:sdtPr>
            <w:id w:val="556676272"/>
            <w14:checkbox>
              <w14:checked w14:val="0"/>
              <w14:checkedState w14:val="2612" w14:font="MS Gothic"/>
              <w14:uncheckedState w14:val="2610" w14:font="MS Gothic"/>
            </w14:checkbox>
          </w:sdtPr>
          <w:sdtEndPr/>
          <w:sdtContent>
            <w:tc>
              <w:tcPr>
                <w:tcW w:w="567" w:type="dxa"/>
                <w:vAlign w:val="center"/>
              </w:tcPr>
              <w:p w:rsidR="00122DED" w:rsidRDefault="00E90A29" w:rsidP="004419BF">
                <w:pPr>
                  <w:jc w:val="center"/>
                </w:pPr>
                <w:r>
                  <w:rPr>
                    <w:rFonts w:ascii="MS Gothic" w:eastAsia="MS Gothic" w:hAnsi="MS Gothic" w:hint="eastAsia"/>
                  </w:rPr>
                  <w:t>☐</w:t>
                </w:r>
              </w:p>
            </w:tc>
          </w:sdtContent>
        </w:sdt>
        <w:tc>
          <w:tcPr>
            <w:tcW w:w="2693" w:type="dxa"/>
            <w:vMerge/>
            <w:vAlign w:val="center"/>
          </w:tcPr>
          <w:p w:rsidR="00122DED" w:rsidRDefault="00122DED" w:rsidP="00AA6726"/>
        </w:tc>
        <w:tc>
          <w:tcPr>
            <w:tcW w:w="2268" w:type="dxa"/>
          </w:tcPr>
          <w:p w:rsidR="00122DED" w:rsidRDefault="00122DED" w:rsidP="00AA6726"/>
        </w:tc>
      </w:tr>
      <w:tr w:rsidR="00122DED" w:rsidTr="006925C1">
        <w:trPr>
          <w:trHeight w:val="405"/>
        </w:trPr>
        <w:tc>
          <w:tcPr>
            <w:tcW w:w="2155" w:type="dxa"/>
            <w:vMerge w:val="restart"/>
            <w:vAlign w:val="center"/>
          </w:tcPr>
          <w:p w:rsidR="00122DED" w:rsidRDefault="00122DED" w:rsidP="006925C1">
            <w:pPr>
              <w:ind w:left="61" w:right="9"/>
            </w:pPr>
            <w:r>
              <w:t>Einrichtung</w:t>
            </w:r>
          </w:p>
        </w:tc>
        <w:tc>
          <w:tcPr>
            <w:tcW w:w="6804" w:type="dxa"/>
            <w:vMerge w:val="restart"/>
          </w:tcPr>
          <w:p w:rsidR="00122DED" w:rsidRDefault="00122DED" w:rsidP="008B3C83">
            <w:pPr>
              <w:pStyle w:val="Listenabsatz"/>
              <w:numPr>
                <w:ilvl w:val="0"/>
                <w:numId w:val="5"/>
              </w:numPr>
              <w:ind w:left="321"/>
              <w:jc w:val="both"/>
            </w:pPr>
            <w:r>
              <w:t>Unterbauten zum Fußboden abgedichtet oder vollständig herausziehbar.</w:t>
            </w:r>
          </w:p>
          <w:p w:rsidR="00122DED" w:rsidRDefault="00122DED" w:rsidP="008B3C83">
            <w:pPr>
              <w:pStyle w:val="Listenabsatz"/>
              <w:numPr>
                <w:ilvl w:val="0"/>
                <w:numId w:val="5"/>
              </w:numPr>
              <w:ind w:left="321"/>
              <w:jc w:val="both"/>
            </w:pPr>
            <w:r>
              <w:t xml:space="preserve">Spritzschutz bei gegenüberliegenden Arbeitsflächen. </w:t>
            </w:r>
          </w:p>
        </w:tc>
        <w:sdt>
          <w:sdtPr>
            <w:id w:val="1203373061"/>
            <w14:checkbox>
              <w14:checked w14:val="0"/>
              <w14:checkedState w14:val="2612" w14:font="MS Gothic"/>
              <w14:uncheckedState w14:val="2610" w14:font="MS Gothic"/>
            </w14:checkbox>
          </w:sdtPr>
          <w:sdtEndPr/>
          <w:sdtContent>
            <w:tc>
              <w:tcPr>
                <w:tcW w:w="426" w:type="dxa"/>
                <w:vAlign w:val="center"/>
              </w:tcPr>
              <w:p w:rsidR="00122DED" w:rsidRDefault="007D7305" w:rsidP="00AA6726">
                <w:pPr>
                  <w:jc w:val="center"/>
                </w:pPr>
                <w:r>
                  <w:rPr>
                    <w:rFonts w:ascii="MS Gothic" w:eastAsia="MS Gothic" w:hAnsi="MS Gothic" w:hint="eastAsia"/>
                  </w:rPr>
                  <w:t>☐</w:t>
                </w:r>
              </w:p>
            </w:tc>
          </w:sdtContent>
        </w:sdt>
        <w:sdt>
          <w:sdtPr>
            <w:id w:val="-1082213789"/>
            <w14:checkbox>
              <w14:checked w14:val="0"/>
              <w14:checkedState w14:val="2612" w14:font="MS Gothic"/>
              <w14:uncheckedState w14:val="2610" w14:font="MS Gothic"/>
            </w14:checkbox>
          </w:sdtPr>
          <w:sdtEndPr/>
          <w:sdtContent>
            <w:tc>
              <w:tcPr>
                <w:tcW w:w="425" w:type="dxa"/>
                <w:vAlign w:val="center"/>
              </w:tcPr>
              <w:p w:rsidR="00122DED" w:rsidRDefault="00122DED" w:rsidP="004419BF">
                <w:pPr>
                  <w:jc w:val="center"/>
                </w:pPr>
                <w:r>
                  <w:rPr>
                    <w:rFonts w:ascii="MS Gothic" w:eastAsia="MS Gothic" w:hAnsi="MS Gothic" w:hint="eastAsia"/>
                  </w:rPr>
                  <w:t>☐</w:t>
                </w:r>
              </w:p>
            </w:tc>
          </w:sdtContent>
        </w:sdt>
        <w:sdt>
          <w:sdtPr>
            <w:id w:val="-2023156789"/>
            <w14:checkbox>
              <w14:checked w14:val="0"/>
              <w14:checkedState w14:val="2612" w14:font="MS Gothic"/>
              <w14:uncheckedState w14:val="2610" w14:font="MS Gothic"/>
            </w14:checkbox>
          </w:sdtPr>
          <w:sdtEndPr/>
          <w:sdtContent>
            <w:tc>
              <w:tcPr>
                <w:tcW w:w="567" w:type="dxa"/>
                <w:vAlign w:val="center"/>
              </w:tcPr>
              <w:p w:rsidR="00122DED" w:rsidRDefault="00122DED" w:rsidP="004419BF">
                <w:pPr>
                  <w:jc w:val="center"/>
                </w:pPr>
                <w:r>
                  <w:rPr>
                    <w:rFonts w:ascii="MS Gothic" w:eastAsia="MS Gothic" w:hAnsi="MS Gothic" w:hint="eastAsia"/>
                  </w:rPr>
                  <w:t>☐</w:t>
                </w:r>
              </w:p>
            </w:tc>
          </w:sdtContent>
        </w:sdt>
        <w:tc>
          <w:tcPr>
            <w:tcW w:w="2693" w:type="dxa"/>
            <w:vMerge w:val="restart"/>
            <w:vAlign w:val="center"/>
          </w:tcPr>
          <w:p w:rsidR="00122DED" w:rsidRDefault="00122DED" w:rsidP="00AA6726"/>
        </w:tc>
        <w:tc>
          <w:tcPr>
            <w:tcW w:w="2268" w:type="dxa"/>
            <w:vMerge w:val="restart"/>
          </w:tcPr>
          <w:p w:rsidR="00122DED" w:rsidRDefault="00122DED" w:rsidP="00AA6726"/>
        </w:tc>
      </w:tr>
      <w:tr w:rsidR="00122DED" w:rsidTr="006925C1">
        <w:trPr>
          <w:trHeight w:val="405"/>
        </w:trPr>
        <w:tc>
          <w:tcPr>
            <w:tcW w:w="2155" w:type="dxa"/>
            <w:vMerge/>
            <w:vAlign w:val="center"/>
          </w:tcPr>
          <w:p w:rsidR="00122DED" w:rsidRDefault="00122DED" w:rsidP="006925C1">
            <w:pPr>
              <w:pStyle w:val="Listenabsatz"/>
              <w:numPr>
                <w:ilvl w:val="1"/>
                <w:numId w:val="15"/>
              </w:numPr>
            </w:pPr>
          </w:p>
        </w:tc>
        <w:tc>
          <w:tcPr>
            <w:tcW w:w="6804" w:type="dxa"/>
            <w:vMerge/>
          </w:tcPr>
          <w:p w:rsidR="00122DED" w:rsidRDefault="00122DED" w:rsidP="008B3C83">
            <w:pPr>
              <w:pStyle w:val="Listenabsatz"/>
              <w:numPr>
                <w:ilvl w:val="0"/>
                <w:numId w:val="5"/>
              </w:numPr>
              <w:ind w:left="321"/>
              <w:jc w:val="both"/>
            </w:pPr>
          </w:p>
        </w:tc>
        <w:sdt>
          <w:sdtPr>
            <w:id w:val="-1704387565"/>
            <w14:checkbox>
              <w14:checked w14:val="0"/>
              <w14:checkedState w14:val="2612" w14:font="MS Gothic"/>
              <w14:uncheckedState w14:val="2610" w14:font="MS Gothic"/>
            </w14:checkbox>
          </w:sdtPr>
          <w:sdtEndPr/>
          <w:sdtContent>
            <w:tc>
              <w:tcPr>
                <w:tcW w:w="426" w:type="dxa"/>
                <w:vAlign w:val="center"/>
              </w:tcPr>
              <w:p w:rsidR="00122DED" w:rsidRDefault="007D7305" w:rsidP="00AA6726">
                <w:pPr>
                  <w:jc w:val="center"/>
                </w:pPr>
                <w:r>
                  <w:rPr>
                    <w:rFonts w:ascii="MS Gothic" w:eastAsia="MS Gothic" w:hAnsi="MS Gothic" w:hint="eastAsia"/>
                  </w:rPr>
                  <w:t>☐</w:t>
                </w:r>
              </w:p>
            </w:tc>
          </w:sdtContent>
        </w:sdt>
        <w:sdt>
          <w:sdtPr>
            <w:id w:val="1446352959"/>
            <w14:checkbox>
              <w14:checked w14:val="0"/>
              <w14:checkedState w14:val="2612" w14:font="MS Gothic"/>
              <w14:uncheckedState w14:val="2610" w14:font="MS Gothic"/>
            </w14:checkbox>
          </w:sdtPr>
          <w:sdtEndPr/>
          <w:sdtContent>
            <w:tc>
              <w:tcPr>
                <w:tcW w:w="425" w:type="dxa"/>
                <w:vAlign w:val="center"/>
              </w:tcPr>
              <w:p w:rsidR="00122DED" w:rsidRDefault="00122DED" w:rsidP="004419BF">
                <w:pPr>
                  <w:jc w:val="center"/>
                </w:pPr>
                <w:r>
                  <w:rPr>
                    <w:rFonts w:ascii="MS Gothic" w:eastAsia="MS Gothic" w:hAnsi="MS Gothic" w:hint="eastAsia"/>
                  </w:rPr>
                  <w:t>☐</w:t>
                </w:r>
              </w:p>
            </w:tc>
          </w:sdtContent>
        </w:sdt>
        <w:sdt>
          <w:sdtPr>
            <w:id w:val="-164710224"/>
            <w14:checkbox>
              <w14:checked w14:val="0"/>
              <w14:checkedState w14:val="2612" w14:font="MS Gothic"/>
              <w14:uncheckedState w14:val="2610" w14:font="MS Gothic"/>
            </w14:checkbox>
          </w:sdtPr>
          <w:sdtEndPr/>
          <w:sdtContent>
            <w:tc>
              <w:tcPr>
                <w:tcW w:w="567" w:type="dxa"/>
                <w:vAlign w:val="center"/>
              </w:tcPr>
              <w:p w:rsidR="00122DED" w:rsidRDefault="00267130" w:rsidP="004419BF">
                <w:pPr>
                  <w:jc w:val="center"/>
                </w:pPr>
                <w:r>
                  <w:rPr>
                    <w:rFonts w:ascii="MS Gothic" w:eastAsia="MS Gothic" w:hAnsi="MS Gothic" w:hint="eastAsia"/>
                  </w:rPr>
                  <w:t>☐</w:t>
                </w:r>
              </w:p>
            </w:tc>
          </w:sdtContent>
        </w:sdt>
        <w:tc>
          <w:tcPr>
            <w:tcW w:w="2693" w:type="dxa"/>
            <w:vMerge/>
            <w:vAlign w:val="center"/>
          </w:tcPr>
          <w:p w:rsidR="00122DED" w:rsidRDefault="00122DED" w:rsidP="00AA6726"/>
        </w:tc>
        <w:tc>
          <w:tcPr>
            <w:tcW w:w="2268" w:type="dxa"/>
            <w:vMerge/>
          </w:tcPr>
          <w:p w:rsidR="00122DED" w:rsidRDefault="00122DED" w:rsidP="00AA6726"/>
        </w:tc>
      </w:tr>
      <w:tr w:rsidR="00122DED" w:rsidTr="006925C1">
        <w:trPr>
          <w:trHeight w:val="803"/>
        </w:trPr>
        <w:tc>
          <w:tcPr>
            <w:tcW w:w="2155" w:type="dxa"/>
            <w:vMerge w:val="restart"/>
            <w:vAlign w:val="center"/>
          </w:tcPr>
          <w:p w:rsidR="00122DED" w:rsidRDefault="006925C1" w:rsidP="006925C1">
            <w:pPr>
              <w:ind w:left="55"/>
            </w:pPr>
            <w:r>
              <w:t>Handwasch</w:t>
            </w:r>
            <w:r w:rsidR="00122DED">
              <w:t>becken</w:t>
            </w:r>
          </w:p>
        </w:tc>
        <w:tc>
          <w:tcPr>
            <w:tcW w:w="6804" w:type="dxa"/>
            <w:vMerge w:val="restart"/>
          </w:tcPr>
          <w:p w:rsidR="00122DED" w:rsidRDefault="00122DED" w:rsidP="008B3C83">
            <w:pPr>
              <w:pStyle w:val="Listenabsatz"/>
              <w:numPr>
                <w:ilvl w:val="0"/>
                <w:numId w:val="7"/>
              </w:numPr>
              <w:ind w:left="321"/>
              <w:jc w:val="both"/>
            </w:pPr>
            <w:r>
              <w:t>Ein Waschbecken soll im Arbeitsbereich vorhanden sein; ein gemeinsames Waschbecken für mehrere Labore ist bei Einhaltung des Schutzzweckes möglich. Es ist kein extra Handwaschbecken Pflicht.</w:t>
            </w:r>
          </w:p>
          <w:p w:rsidR="00122DED" w:rsidRDefault="001E04CE" w:rsidP="001E04CE">
            <w:pPr>
              <w:pStyle w:val="Listenabsatz"/>
              <w:numPr>
                <w:ilvl w:val="0"/>
                <w:numId w:val="7"/>
              </w:numPr>
              <w:ind w:left="321"/>
              <w:jc w:val="both"/>
            </w:pPr>
            <w:r>
              <w:t>Es müssen Einmalhandtu</w:t>
            </w:r>
            <w:r w:rsidR="00122DED">
              <w:t>ch-  und Seifen</w:t>
            </w:r>
            <w:r>
              <w:t>- und Desinfektionsmittel</w:t>
            </w:r>
            <w:r w:rsidR="00122DED">
              <w:t>spender vorha</w:t>
            </w:r>
            <w:r>
              <w:t>nden sein</w:t>
            </w:r>
            <w:r w:rsidR="00122DED">
              <w:t>.</w:t>
            </w:r>
          </w:p>
        </w:tc>
        <w:tc>
          <w:tcPr>
            <w:tcW w:w="426" w:type="dxa"/>
            <w:vAlign w:val="center"/>
          </w:tcPr>
          <w:sdt>
            <w:sdtPr>
              <w:id w:val="1919904543"/>
              <w14:checkbox>
                <w14:checked w14:val="0"/>
                <w14:checkedState w14:val="2612" w14:font="MS Gothic"/>
                <w14:uncheckedState w14:val="2610" w14:font="MS Gothic"/>
              </w14:checkbox>
            </w:sdtPr>
            <w:sdtEndPr/>
            <w:sdtContent>
              <w:p w:rsidR="00122DED" w:rsidRDefault="007D7305" w:rsidP="004419BF">
                <w:pPr>
                  <w:jc w:val="center"/>
                </w:pPr>
                <w:r>
                  <w:rPr>
                    <w:rFonts w:ascii="MS Gothic" w:eastAsia="MS Gothic" w:hAnsi="MS Gothic" w:hint="eastAsia"/>
                  </w:rPr>
                  <w:t>☐</w:t>
                </w:r>
              </w:p>
            </w:sdtContent>
          </w:sdt>
        </w:tc>
        <w:sdt>
          <w:sdtPr>
            <w:id w:val="-1427026103"/>
            <w14:checkbox>
              <w14:checked w14:val="0"/>
              <w14:checkedState w14:val="2612" w14:font="MS Gothic"/>
              <w14:uncheckedState w14:val="2610" w14:font="MS Gothic"/>
            </w14:checkbox>
          </w:sdtPr>
          <w:sdtEndPr/>
          <w:sdtContent>
            <w:tc>
              <w:tcPr>
                <w:tcW w:w="425" w:type="dxa"/>
                <w:vAlign w:val="center"/>
              </w:tcPr>
              <w:p w:rsidR="00122DED" w:rsidRDefault="00122DED" w:rsidP="004419BF">
                <w:pPr>
                  <w:jc w:val="center"/>
                </w:pPr>
                <w:r>
                  <w:rPr>
                    <w:rFonts w:ascii="MS Gothic" w:eastAsia="MS Gothic" w:hAnsi="MS Gothic" w:hint="eastAsia"/>
                  </w:rPr>
                  <w:t>☐</w:t>
                </w:r>
              </w:p>
            </w:tc>
          </w:sdtContent>
        </w:sdt>
        <w:sdt>
          <w:sdtPr>
            <w:id w:val="-1266531281"/>
            <w14:checkbox>
              <w14:checked w14:val="0"/>
              <w14:checkedState w14:val="2612" w14:font="MS Gothic"/>
              <w14:uncheckedState w14:val="2610" w14:font="MS Gothic"/>
            </w14:checkbox>
          </w:sdtPr>
          <w:sdtEndPr/>
          <w:sdtContent>
            <w:tc>
              <w:tcPr>
                <w:tcW w:w="567" w:type="dxa"/>
                <w:vAlign w:val="center"/>
              </w:tcPr>
              <w:p w:rsidR="00122DED" w:rsidRDefault="00122DED" w:rsidP="004419BF">
                <w:pPr>
                  <w:jc w:val="center"/>
                </w:pPr>
                <w:r>
                  <w:rPr>
                    <w:rFonts w:ascii="MS Gothic" w:eastAsia="MS Gothic" w:hAnsi="MS Gothic" w:hint="eastAsia"/>
                  </w:rPr>
                  <w:t>☐</w:t>
                </w:r>
              </w:p>
            </w:tc>
          </w:sdtContent>
        </w:sdt>
        <w:tc>
          <w:tcPr>
            <w:tcW w:w="2693" w:type="dxa"/>
            <w:vMerge w:val="restart"/>
            <w:vAlign w:val="center"/>
          </w:tcPr>
          <w:p w:rsidR="00122DED" w:rsidRDefault="00122DED" w:rsidP="00AA6726"/>
        </w:tc>
        <w:tc>
          <w:tcPr>
            <w:tcW w:w="2268" w:type="dxa"/>
            <w:vMerge w:val="restart"/>
          </w:tcPr>
          <w:p w:rsidR="00122DED" w:rsidRDefault="00122DED" w:rsidP="00AA6726"/>
        </w:tc>
      </w:tr>
      <w:tr w:rsidR="00122DED" w:rsidTr="006925C1">
        <w:trPr>
          <w:trHeight w:val="590"/>
        </w:trPr>
        <w:tc>
          <w:tcPr>
            <w:tcW w:w="2155" w:type="dxa"/>
            <w:vMerge/>
            <w:vAlign w:val="center"/>
          </w:tcPr>
          <w:p w:rsidR="00122DED" w:rsidRDefault="00122DED" w:rsidP="006925C1">
            <w:pPr>
              <w:pStyle w:val="Listenabsatz"/>
              <w:numPr>
                <w:ilvl w:val="1"/>
                <w:numId w:val="15"/>
              </w:numPr>
            </w:pPr>
          </w:p>
        </w:tc>
        <w:tc>
          <w:tcPr>
            <w:tcW w:w="6804" w:type="dxa"/>
            <w:vMerge/>
          </w:tcPr>
          <w:p w:rsidR="00122DED" w:rsidRDefault="00122DED" w:rsidP="008B3C83">
            <w:pPr>
              <w:pStyle w:val="Listenabsatz"/>
              <w:numPr>
                <w:ilvl w:val="0"/>
                <w:numId w:val="7"/>
              </w:numPr>
              <w:ind w:left="321"/>
              <w:jc w:val="both"/>
            </w:pPr>
          </w:p>
        </w:tc>
        <w:sdt>
          <w:sdtPr>
            <w:id w:val="199746036"/>
            <w14:checkbox>
              <w14:checked w14:val="0"/>
              <w14:checkedState w14:val="2612" w14:font="MS Gothic"/>
              <w14:uncheckedState w14:val="2610" w14:font="MS Gothic"/>
            </w14:checkbox>
          </w:sdtPr>
          <w:sdtEndPr/>
          <w:sdtContent>
            <w:tc>
              <w:tcPr>
                <w:tcW w:w="426" w:type="dxa"/>
                <w:vAlign w:val="center"/>
              </w:tcPr>
              <w:p w:rsidR="00122DED" w:rsidRDefault="007D7305" w:rsidP="004419BF">
                <w:pPr>
                  <w:jc w:val="center"/>
                </w:pPr>
                <w:r>
                  <w:rPr>
                    <w:rFonts w:ascii="MS Gothic" w:eastAsia="MS Gothic" w:hAnsi="MS Gothic" w:hint="eastAsia"/>
                  </w:rPr>
                  <w:t>☐</w:t>
                </w:r>
              </w:p>
            </w:tc>
          </w:sdtContent>
        </w:sdt>
        <w:sdt>
          <w:sdtPr>
            <w:id w:val="-1143190566"/>
            <w14:checkbox>
              <w14:checked w14:val="0"/>
              <w14:checkedState w14:val="2612" w14:font="MS Gothic"/>
              <w14:uncheckedState w14:val="2610" w14:font="MS Gothic"/>
            </w14:checkbox>
          </w:sdtPr>
          <w:sdtEndPr/>
          <w:sdtContent>
            <w:tc>
              <w:tcPr>
                <w:tcW w:w="425" w:type="dxa"/>
                <w:vAlign w:val="center"/>
              </w:tcPr>
              <w:p w:rsidR="00122DED" w:rsidRDefault="00122DED" w:rsidP="004419BF">
                <w:pPr>
                  <w:jc w:val="center"/>
                </w:pPr>
                <w:r>
                  <w:rPr>
                    <w:rFonts w:ascii="MS Gothic" w:eastAsia="MS Gothic" w:hAnsi="MS Gothic" w:hint="eastAsia"/>
                  </w:rPr>
                  <w:t>☐</w:t>
                </w:r>
              </w:p>
            </w:tc>
          </w:sdtContent>
        </w:sdt>
        <w:sdt>
          <w:sdtPr>
            <w:id w:val="107937540"/>
            <w14:checkbox>
              <w14:checked w14:val="0"/>
              <w14:checkedState w14:val="2612" w14:font="MS Gothic"/>
              <w14:uncheckedState w14:val="2610" w14:font="MS Gothic"/>
            </w14:checkbox>
          </w:sdtPr>
          <w:sdtEndPr/>
          <w:sdtContent>
            <w:tc>
              <w:tcPr>
                <w:tcW w:w="567" w:type="dxa"/>
                <w:vAlign w:val="center"/>
              </w:tcPr>
              <w:p w:rsidR="00122DED" w:rsidRDefault="00122DED" w:rsidP="004419BF">
                <w:pPr>
                  <w:jc w:val="center"/>
                </w:pPr>
                <w:r>
                  <w:rPr>
                    <w:rFonts w:ascii="MS Gothic" w:eastAsia="MS Gothic" w:hAnsi="MS Gothic" w:hint="eastAsia"/>
                  </w:rPr>
                  <w:t>☐</w:t>
                </w:r>
              </w:p>
            </w:tc>
          </w:sdtContent>
        </w:sdt>
        <w:tc>
          <w:tcPr>
            <w:tcW w:w="2693" w:type="dxa"/>
            <w:vMerge/>
            <w:vAlign w:val="center"/>
          </w:tcPr>
          <w:p w:rsidR="00122DED" w:rsidRDefault="00122DED" w:rsidP="00AA6726"/>
        </w:tc>
        <w:tc>
          <w:tcPr>
            <w:tcW w:w="2268" w:type="dxa"/>
            <w:vMerge/>
          </w:tcPr>
          <w:p w:rsidR="00122DED" w:rsidRDefault="00122DED" w:rsidP="00AA6726"/>
        </w:tc>
      </w:tr>
      <w:tr w:rsidR="00122DED" w:rsidTr="006925C1">
        <w:trPr>
          <w:trHeight w:val="928"/>
        </w:trPr>
        <w:tc>
          <w:tcPr>
            <w:tcW w:w="2155" w:type="dxa"/>
            <w:vAlign w:val="center"/>
          </w:tcPr>
          <w:p w:rsidR="00122DED" w:rsidRDefault="00122DED" w:rsidP="006925C1">
            <w:pPr>
              <w:ind w:left="55"/>
            </w:pPr>
            <w:r>
              <w:t>Türen</w:t>
            </w:r>
          </w:p>
        </w:tc>
        <w:tc>
          <w:tcPr>
            <w:tcW w:w="6804" w:type="dxa"/>
          </w:tcPr>
          <w:p w:rsidR="00122DED" w:rsidRDefault="00122DED" w:rsidP="008B3C83">
            <w:pPr>
              <w:jc w:val="both"/>
            </w:pPr>
            <w:r w:rsidRPr="00EB7620">
              <w:t xml:space="preserve">Labortüren </w:t>
            </w:r>
            <w:r w:rsidRPr="00DD77CA">
              <w:rPr>
                <w:b/>
              </w:rPr>
              <w:t>sollen</w:t>
            </w:r>
            <w:r w:rsidRPr="00EB7620">
              <w:t xml:space="preserve"> nach außen aufschlagen und </w:t>
            </w:r>
            <w:r w:rsidRPr="00E27490">
              <w:rPr>
                <w:b/>
              </w:rPr>
              <w:t>sollen</w:t>
            </w:r>
            <w:r w:rsidRPr="00EB7620">
              <w:t xml:space="preserve"> aus Gründen des Personenschutzes Sichtfenster aufweisen</w:t>
            </w:r>
            <w:r>
              <w:t xml:space="preserve"> </w:t>
            </w:r>
            <w:r w:rsidRPr="00E90A29">
              <w:rPr>
                <w:sz w:val="20"/>
                <w:szCs w:val="20"/>
              </w:rPr>
              <w:t>[Ausnahmen bei Mess-, Lagerräumen möglich].</w:t>
            </w:r>
          </w:p>
        </w:tc>
        <w:sdt>
          <w:sdtPr>
            <w:id w:val="-701713953"/>
            <w14:checkbox>
              <w14:checked w14:val="0"/>
              <w14:checkedState w14:val="2612" w14:font="MS Gothic"/>
              <w14:uncheckedState w14:val="2610" w14:font="MS Gothic"/>
            </w14:checkbox>
          </w:sdtPr>
          <w:sdtEndPr/>
          <w:sdtContent>
            <w:tc>
              <w:tcPr>
                <w:tcW w:w="426" w:type="dxa"/>
                <w:vAlign w:val="center"/>
              </w:tcPr>
              <w:p w:rsidR="00122DED" w:rsidRDefault="007D7305" w:rsidP="00AA6726">
                <w:pPr>
                  <w:jc w:val="center"/>
                </w:pPr>
                <w:r>
                  <w:rPr>
                    <w:rFonts w:ascii="MS Gothic" w:eastAsia="MS Gothic" w:hAnsi="MS Gothic" w:hint="eastAsia"/>
                  </w:rPr>
                  <w:t>☐</w:t>
                </w:r>
              </w:p>
            </w:tc>
          </w:sdtContent>
        </w:sdt>
        <w:sdt>
          <w:sdtPr>
            <w:id w:val="1006093712"/>
            <w14:checkbox>
              <w14:checked w14:val="0"/>
              <w14:checkedState w14:val="2612" w14:font="MS Gothic"/>
              <w14:uncheckedState w14:val="2610" w14:font="MS Gothic"/>
            </w14:checkbox>
          </w:sdtPr>
          <w:sdtEndPr/>
          <w:sdtContent>
            <w:tc>
              <w:tcPr>
                <w:tcW w:w="425" w:type="dxa"/>
                <w:vAlign w:val="center"/>
              </w:tcPr>
              <w:p w:rsidR="00122DED" w:rsidRDefault="00122DED" w:rsidP="00527239">
                <w:pPr>
                  <w:jc w:val="center"/>
                </w:pPr>
                <w:r>
                  <w:rPr>
                    <w:rFonts w:ascii="MS Gothic" w:eastAsia="MS Gothic" w:hAnsi="MS Gothic" w:hint="eastAsia"/>
                  </w:rPr>
                  <w:t>☐</w:t>
                </w:r>
              </w:p>
            </w:tc>
          </w:sdtContent>
        </w:sdt>
        <w:sdt>
          <w:sdtPr>
            <w:id w:val="-2144641914"/>
            <w14:checkbox>
              <w14:checked w14:val="0"/>
              <w14:checkedState w14:val="2612" w14:font="MS Gothic"/>
              <w14:uncheckedState w14:val="2610" w14:font="MS Gothic"/>
            </w14:checkbox>
          </w:sdtPr>
          <w:sdtEndPr/>
          <w:sdtContent>
            <w:tc>
              <w:tcPr>
                <w:tcW w:w="567" w:type="dxa"/>
                <w:vAlign w:val="center"/>
              </w:tcPr>
              <w:p w:rsidR="00122DED" w:rsidRDefault="00122DED" w:rsidP="00527239">
                <w:pPr>
                  <w:jc w:val="center"/>
                </w:pPr>
                <w:r>
                  <w:rPr>
                    <w:rFonts w:ascii="MS Gothic" w:eastAsia="MS Gothic" w:hAnsi="MS Gothic" w:hint="eastAsia"/>
                  </w:rPr>
                  <w:t>☐</w:t>
                </w:r>
              </w:p>
            </w:tc>
          </w:sdtContent>
        </w:sdt>
        <w:tc>
          <w:tcPr>
            <w:tcW w:w="2693" w:type="dxa"/>
            <w:vAlign w:val="center"/>
          </w:tcPr>
          <w:p w:rsidR="00122DED" w:rsidRDefault="00122DED" w:rsidP="00AA6726"/>
        </w:tc>
        <w:tc>
          <w:tcPr>
            <w:tcW w:w="2268" w:type="dxa"/>
          </w:tcPr>
          <w:p w:rsidR="00122DED" w:rsidRDefault="00122DED" w:rsidP="00AA6726"/>
        </w:tc>
      </w:tr>
      <w:tr w:rsidR="00122DED" w:rsidTr="006925C1">
        <w:tc>
          <w:tcPr>
            <w:tcW w:w="2155" w:type="dxa"/>
            <w:vAlign w:val="center"/>
          </w:tcPr>
          <w:p w:rsidR="00122DED" w:rsidRDefault="00122DED" w:rsidP="006925C1">
            <w:pPr>
              <w:ind w:left="55"/>
            </w:pPr>
            <w:r>
              <w:t>Techn. Lüftung</w:t>
            </w:r>
          </w:p>
        </w:tc>
        <w:tc>
          <w:tcPr>
            <w:tcW w:w="6804" w:type="dxa"/>
          </w:tcPr>
          <w:p w:rsidR="00122DED" w:rsidRPr="00EB7620" w:rsidRDefault="0030729E" w:rsidP="008B3C83">
            <w:pPr>
              <w:jc w:val="both"/>
            </w:pPr>
            <w:r>
              <w:t xml:space="preserve">Vorhanden? </w:t>
            </w:r>
            <w:r w:rsidR="00122DED">
              <w:t>Eine technische Lüftung ist nicht erforderlich, wenn durch natürliche Lüftung der Luftaustausch gewährleistet ist (</w:t>
            </w:r>
            <w:r w:rsidR="00122DED">
              <w:rPr>
                <w:rFonts w:ascii="News Gothic MT" w:hAnsi="News Gothic MT"/>
                <w:color w:val="000000"/>
                <w:sz w:val="20"/>
              </w:rPr>
              <w:t>ca. 8-fache Luftwechselrate, 25 m³/hm²)</w:t>
            </w:r>
            <w:r w:rsidR="00122DED">
              <w:t>. ABER: Die Nutzung von z.B. leicht flüchtigen, brennbaren, staubenden, Aerosol bildenden Gefahrstoffen kann den Einsatz einer technischen Lüftung erfordern.</w:t>
            </w:r>
          </w:p>
        </w:tc>
        <w:sdt>
          <w:sdtPr>
            <w:id w:val="-842091307"/>
            <w14:checkbox>
              <w14:checked w14:val="0"/>
              <w14:checkedState w14:val="2612" w14:font="MS Gothic"/>
              <w14:uncheckedState w14:val="2610" w14:font="MS Gothic"/>
            </w14:checkbox>
          </w:sdtPr>
          <w:sdtEndPr/>
          <w:sdtContent>
            <w:tc>
              <w:tcPr>
                <w:tcW w:w="426" w:type="dxa"/>
                <w:vAlign w:val="center"/>
              </w:tcPr>
              <w:p w:rsidR="00122DED" w:rsidRDefault="007D7305" w:rsidP="00AA6726">
                <w:pPr>
                  <w:jc w:val="center"/>
                </w:pPr>
                <w:r>
                  <w:rPr>
                    <w:rFonts w:ascii="MS Gothic" w:eastAsia="MS Gothic" w:hAnsi="MS Gothic" w:hint="eastAsia"/>
                  </w:rPr>
                  <w:t>☐</w:t>
                </w:r>
              </w:p>
            </w:tc>
          </w:sdtContent>
        </w:sdt>
        <w:sdt>
          <w:sdtPr>
            <w:id w:val="-904142108"/>
            <w14:checkbox>
              <w14:checked w14:val="0"/>
              <w14:checkedState w14:val="2612" w14:font="MS Gothic"/>
              <w14:uncheckedState w14:val="2610" w14:font="MS Gothic"/>
            </w14:checkbox>
          </w:sdtPr>
          <w:sdtEndPr/>
          <w:sdtContent>
            <w:tc>
              <w:tcPr>
                <w:tcW w:w="425" w:type="dxa"/>
                <w:vAlign w:val="center"/>
              </w:tcPr>
              <w:p w:rsidR="00122DED" w:rsidRDefault="00122DED" w:rsidP="004419BF">
                <w:pPr>
                  <w:jc w:val="center"/>
                </w:pPr>
                <w:r>
                  <w:rPr>
                    <w:rFonts w:ascii="MS Gothic" w:eastAsia="MS Gothic" w:hAnsi="MS Gothic" w:hint="eastAsia"/>
                  </w:rPr>
                  <w:t>☐</w:t>
                </w:r>
              </w:p>
            </w:tc>
          </w:sdtContent>
        </w:sdt>
        <w:sdt>
          <w:sdtPr>
            <w:id w:val="-1591698220"/>
            <w14:checkbox>
              <w14:checked w14:val="0"/>
              <w14:checkedState w14:val="2612" w14:font="MS Gothic"/>
              <w14:uncheckedState w14:val="2610" w14:font="MS Gothic"/>
            </w14:checkbox>
          </w:sdtPr>
          <w:sdtEndPr/>
          <w:sdtContent>
            <w:tc>
              <w:tcPr>
                <w:tcW w:w="567" w:type="dxa"/>
                <w:vAlign w:val="center"/>
              </w:tcPr>
              <w:p w:rsidR="00122DED" w:rsidRDefault="00122DED" w:rsidP="004419BF">
                <w:pPr>
                  <w:jc w:val="center"/>
                </w:pPr>
                <w:r>
                  <w:rPr>
                    <w:rFonts w:ascii="MS Gothic" w:eastAsia="MS Gothic" w:hAnsi="MS Gothic" w:hint="eastAsia"/>
                  </w:rPr>
                  <w:t>☐</w:t>
                </w:r>
              </w:p>
            </w:tc>
          </w:sdtContent>
        </w:sdt>
        <w:tc>
          <w:tcPr>
            <w:tcW w:w="2693" w:type="dxa"/>
            <w:vAlign w:val="center"/>
          </w:tcPr>
          <w:p w:rsidR="00122DED" w:rsidRDefault="00122DED" w:rsidP="00AA6726"/>
        </w:tc>
        <w:tc>
          <w:tcPr>
            <w:tcW w:w="2268" w:type="dxa"/>
          </w:tcPr>
          <w:p w:rsidR="00122DED" w:rsidRDefault="00122DED" w:rsidP="00AA6726"/>
        </w:tc>
      </w:tr>
      <w:tr w:rsidR="0030729E" w:rsidTr="006925C1">
        <w:trPr>
          <w:trHeight w:val="1330"/>
        </w:trPr>
        <w:tc>
          <w:tcPr>
            <w:tcW w:w="2155" w:type="dxa"/>
            <w:vAlign w:val="center"/>
          </w:tcPr>
          <w:p w:rsidR="0030729E" w:rsidRDefault="0030729E" w:rsidP="00055D7B">
            <w:r>
              <w:lastRenderedPageBreak/>
              <w:t>Notduschen</w:t>
            </w:r>
          </w:p>
        </w:tc>
        <w:tc>
          <w:tcPr>
            <w:tcW w:w="6804" w:type="dxa"/>
          </w:tcPr>
          <w:p w:rsidR="0030729E" w:rsidRDefault="0030729E" w:rsidP="0030729E">
            <w:pPr>
              <w:jc w:val="both"/>
            </w:pPr>
            <w:r>
              <w:t xml:space="preserve">Bei Arbeiten mit Laugen, Säuren sowie biologischem Material </w:t>
            </w:r>
            <w:r w:rsidRPr="00122DED">
              <w:rPr>
                <w:b/>
              </w:rPr>
              <w:t>muss</w:t>
            </w:r>
            <w:r>
              <w:t xml:space="preserve"> eine Augendusche zur Verfügung stehen. </w:t>
            </w:r>
          </w:p>
          <w:p w:rsidR="0030729E" w:rsidRDefault="0030729E" w:rsidP="0030729E">
            <w:pPr>
              <w:jc w:val="both"/>
            </w:pPr>
            <w:r>
              <w:t>Eine Körperdusche ist bei Umgang mit brennbaren/ätzenden Stoffen Pflicht.</w:t>
            </w:r>
          </w:p>
          <w:p w:rsidR="0030729E" w:rsidRPr="00EB7620" w:rsidRDefault="0030729E" w:rsidP="00122DED">
            <w:pPr>
              <w:ind w:left="-39"/>
              <w:jc w:val="both"/>
            </w:pPr>
            <w:r>
              <w:t xml:space="preserve">Notduschen </w:t>
            </w:r>
            <w:r w:rsidRPr="00122DED">
              <w:rPr>
                <w:b/>
              </w:rPr>
              <w:t>müssen</w:t>
            </w:r>
            <w:r>
              <w:t xml:space="preserve"> monatlich geprüft und dies dokumentiert werden.</w:t>
            </w:r>
          </w:p>
        </w:tc>
        <w:tc>
          <w:tcPr>
            <w:tcW w:w="426" w:type="dxa"/>
            <w:vAlign w:val="center"/>
          </w:tcPr>
          <w:p w:rsidR="0030729E" w:rsidRDefault="0099158E" w:rsidP="004419BF">
            <w:pPr>
              <w:jc w:val="center"/>
            </w:pPr>
            <w:sdt>
              <w:sdtPr>
                <w:id w:val="-1187912204"/>
                <w14:checkbox>
                  <w14:checked w14:val="0"/>
                  <w14:checkedState w14:val="2612" w14:font="MS Gothic"/>
                  <w14:uncheckedState w14:val="2610" w14:font="MS Gothic"/>
                </w14:checkbox>
              </w:sdtPr>
              <w:sdtEndPr/>
              <w:sdtContent>
                <w:r w:rsidR="007D7305">
                  <w:rPr>
                    <w:rFonts w:ascii="MS Gothic" w:eastAsia="MS Gothic" w:hAnsi="MS Gothic" w:hint="eastAsia"/>
                  </w:rPr>
                  <w:t>☐</w:t>
                </w:r>
              </w:sdtContent>
            </w:sdt>
          </w:p>
          <w:p w:rsidR="0030729E" w:rsidRDefault="0030729E" w:rsidP="004419BF">
            <w:pPr>
              <w:jc w:val="center"/>
            </w:pPr>
          </w:p>
          <w:sdt>
            <w:sdtPr>
              <w:id w:val="-1136099394"/>
              <w14:checkbox>
                <w14:checked w14:val="0"/>
                <w14:checkedState w14:val="2612" w14:font="MS Gothic"/>
                <w14:uncheckedState w14:val="2610" w14:font="MS Gothic"/>
              </w14:checkbox>
            </w:sdtPr>
            <w:sdtEndPr/>
            <w:sdtContent>
              <w:p w:rsidR="0030729E" w:rsidRDefault="007D7305" w:rsidP="004419BF">
                <w:pPr>
                  <w:jc w:val="center"/>
                </w:pPr>
                <w:r>
                  <w:rPr>
                    <w:rFonts w:ascii="MS Gothic" w:eastAsia="MS Gothic" w:hAnsi="MS Gothic" w:hint="eastAsia"/>
                  </w:rPr>
                  <w:t>☐</w:t>
                </w:r>
              </w:p>
            </w:sdtContent>
          </w:sdt>
          <w:p w:rsidR="0030729E" w:rsidRDefault="0030729E" w:rsidP="004419BF">
            <w:pPr>
              <w:jc w:val="center"/>
            </w:pPr>
          </w:p>
          <w:sdt>
            <w:sdtPr>
              <w:id w:val="-310945954"/>
              <w14:checkbox>
                <w14:checked w14:val="0"/>
                <w14:checkedState w14:val="2612" w14:font="MS Gothic"/>
                <w14:uncheckedState w14:val="2610" w14:font="MS Gothic"/>
              </w14:checkbox>
            </w:sdtPr>
            <w:sdtEndPr/>
            <w:sdtContent>
              <w:p w:rsidR="0030729E" w:rsidRDefault="007D7305" w:rsidP="004419BF">
                <w:pPr>
                  <w:jc w:val="center"/>
                </w:pPr>
                <w:r>
                  <w:rPr>
                    <w:rFonts w:ascii="MS Gothic" w:eastAsia="MS Gothic" w:hAnsi="MS Gothic" w:hint="eastAsia"/>
                  </w:rPr>
                  <w:t>☐</w:t>
                </w:r>
              </w:p>
            </w:sdtContent>
          </w:sdt>
        </w:tc>
        <w:tc>
          <w:tcPr>
            <w:tcW w:w="425" w:type="dxa"/>
            <w:vAlign w:val="center"/>
          </w:tcPr>
          <w:sdt>
            <w:sdtPr>
              <w:id w:val="-217984698"/>
              <w14:checkbox>
                <w14:checked w14:val="0"/>
                <w14:checkedState w14:val="2612" w14:font="MS Gothic"/>
                <w14:uncheckedState w14:val="2610" w14:font="MS Gothic"/>
              </w14:checkbox>
            </w:sdtPr>
            <w:sdtEndPr/>
            <w:sdtContent>
              <w:p w:rsidR="0030729E" w:rsidRDefault="0030729E" w:rsidP="004419BF">
                <w:pPr>
                  <w:jc w:val="center"/>
                </w:pPr>
                <w:r>
                  <w:rPr>
                    <w:rFonts w:ascii="MS Gothic" w:eastAsia="MS Gothic" w:hAnsi="MS Gothic" w:hint="eastAsia"/>
                  </w:rPr>
                  <w:t>☐</w:t>
                </w:r>
              </w:p>
            </w:sdtContent>
          </w:sdt>
          <w:p w:rsidR="0030729E" w:rsidRDefault="0030729E" w:rsidP="004419BF">
            <w:pPr>
              <w:jc w:val="center"/>
            </w:pPr>
          </w:p>
          <w:sdt>
            <w:sdtPr>
              <w:id w:val="-104966413"/>
              <w14:checkbox>
                <w14:checked w14:val="0"/>
                <w14:checkedState w14:val="2612" w14:font="MS Gothic"/>
                <w14:uncheckedState w14:val="2610" w14:font="MS Gothic"/>
              </w14:checkbox>
            </w:sdtPr>
            <w:sdtEndPr/>
            <w:sdtContent>
              <w:p w:rsidR="0030729E" w:rsidRDefault="0030729E" w:rsidP="004419BF">
                <w:pPr>
                  <w:jc w:val="center"/>
                </w:pPr>
                <w:r>
                  <w:rPr>
                    <w:rFonts w:ascii="MS Gothic" w:eastAsia="MS Gothic" w:hAnsi="MS Gothic" w:hint="eastAsia"/>
                  </w:rPr>
                  <w:t>☐</w:t>
                </w:r>
              </w:p>
            </w:sdtContent>
          </w:sdt>
          <w:p w:rsidR="0030729E" w:rsidRDefault="0030729E" w:rsidP="004419BF">
            <w:pPr>
              <w:jc w:val="center"/>
            </w:pPr>
          </w:p>
          <w:sdt>
            <w:sdtPr>
              <w:id w:val="-1884473436"/>
              <w14:checkbox>
                <w14:checked w14:val="0"/>
                <w14:checkedState w14:val="2612" w14:font="MS Gothic"/>
                <w14:uncheckedState w14:val="2610" w14:font="MS Gothic"/>
              </w14:checkbox>
            </w:sdtPr>
            <w:sdtEndPr/>
            <w:sdtContent>
              <w:p w:rsidR="0030729E" w:rsidRDefault="0030729E" w:rsidP="004419BF">
                <w:pPr>
                  <w:jc w:val="center"/>
                </w:pPr>
                <w:r>
                  <w:rPr>
                    <w:rFonts w:ascii="MS Gothic" w:eastAsia="MS Gothic" w:hAnsi="MS Gothic" w:hint="eastAsia"/>
                  </w:rPr>
                  <w:t>☐</w:t>
                </w:r>
              </w:p>
            </w:sdtContent>
          </w:sdt>
        </w:tc>
        <w:tc>
          <w:tcPr>
            <w:tcW w:w="567" w:type="dxa"/>
            <w:vAlign w:val="center"/>
          </w:tcPr>
          <w:sdt>
            <w:sdtPr>
              <w:id w:val="-1664460069"/>
              <w14:checkbox>
                <w14:checked w14:val="0"/>
                <w14:checkedState w14:val="2612" w14:font="MS Gothic"/>
                <w14:uncheckedState w14:val="2610" w14:font="MS Gothic"/>
              </w14:checkbox>
            </w:sdtPr>
            <w:sdtEndPr/>
            <w:sdtContent>
              <w:p w:rsidR="0030729E" w:rsidRDefault="0030729E" w:rsidP="004419BF">
                <w:pPr>
                  <w:jc w:val="center"/>
                </w:pPr>
                <w:r>
                  <w:rPr>
                    <w:rFonts w:ascii="MS Gothic" w:eastAsia="MS Gothic" w:hAnsi="MS Gothic" w:hint="eastAsia"/>
                  </w:rPr>
                  <w:t>☐</w:t>
                </w:r>
              </w:p>
            </w:sdtContent>
          </w:sdt>
          <w:p w:rsidR="0030729E" w:rsidRDefault="0030729E" w:rsidP="004419BF">
            <w:pPr>
              <w:jc w:val="center"/>
            </w:pPr>
          </w:p>
          <w:sdt>
            <w:sdtPr>
              <w:id w:val="-149289945"/>
              <w14:checkbox>
                <w14:checked w14:val="0"/>
                <w14:checkedState w14:val="2612" w14:font="MS Gothic"/>
                <w14:uncheckedState w14:val="2610" w14:font="MS Gothic"/>
              </w14:checkbox>
            </w:sdtPr>
            <w:sdtEndPr/>
            <w:sdtContent>
              <w:p w:rsidR="0030729E" w:rsidRDefault="0030729E" w:rsidP="004419BF">
                <w:pPr>
                  <w:jc w:val="center"/>
                </w:pPr>
                <w:r>
                  <w:rPr>
                    <w:rFonts w:ascii="MS Gothic" w:eastAsia="MS Gothic" w:hAnsi="MS Gothic" w:hint="eastAsia"/>
                  </w:rPr>
                  <w:t>☐</w:t>
                </w:r>
              </w:p>
            </w:sdtContent>
          </w:sdt>
          <w:p w:rsidR="0030729E" w:rsidRDefault="0030729E" w:rsidP="004419BF">
            <w:pPr>
              <w:jc w:val="center"/>
            </w:pPr>
          </w:p>
          <w:sdt>
            <w:sdtPr>
              <w:id w:val="-291215293"/>
              <w14:checkbox>
                <w14:checked w14:val="0"/>
                <w14:checkedState w14:val="2612" w14:font="MS Gothic"/>
                <w14:uncheckedState w14:val="2610" w14:font="MS Gothic"/>
              </w14:checkbox>
            </w:sdtPr>
            <w:sdtEndPr/>
            <w:sdtContent>
              <w:p w:rsidR="0030729E" w:rsidRDefault="0030729E" w:rsidP="004419BF">
                <w:pPr>
                  <w:jc w:val="center"/>
                </w:pPr>
                <w:r>
                  <w:rPr>
                    <w:rFonts w:ascii="MS Gothic" w:eastAsia="MS Gothic" w:hAnsi="MS Gothic" w:hint="eastAsia"/>
                  </w:rPr>
                  <w:t>☐</w:t>
                </w:r>
              </w:p>
            </w:sdtContent>
          </w:sdt>
        </w:tc>
        <w:tc>
          <w:tcPr>
            <w:tcW w:w="2693" w:type="dxa"/>
            <w:vAlign w:val="center"/>
          </w:tcPr>
          <w:p w:rsidR="0030729E" w:rsidRDefault="0030729E" w:rsidP="00AA6726"/>
        </w:tc>
        <w:tc>
          <w:tcPr>
            <w:tcW w:w="2268" w:type="dxa"/>
          </w:tcPr>
          <w:p w:rsidR="0030729E" w:rsidRDefault="0030729E" w:rsidP="00AA6726"/>
        </w:tc>
      </w:tr>
      <w:tr w:rsidR="00055D7B" w:rsidTr="006F7493">
        <w:tc>
          <w:tcPr>
            <w:tcW w:w="2155" w:type="dxa"/>
            <w:vAlign w:val="center"/>
          </w:tcPr>
          <w:p w:rsidR="00055D7B" w:rsidRDefault="00055D7B" w:rsidP="00055D7B">
            <w:r>
              <w:t>Lagerung Gefahrstoffe</w:t>
            </w:r>
          </w:p>
        </w:tc>
        <w:tc>
          <w:tcPr>
            <w:tcW w:w="8222" w:type="dxa"/>
            <w:gridSpan w:val="4"/>
          </w:tcPr>
          <w:p w:rsidR="00055D7B" w:rsidRDefault="00055D7B" w:rsidP="00055D7B">
            <w:pPr>
              <w:jc w:val="both"/>
            </w:pPr>
            <w:r>
              <w:t>Anforderungen siehe Checkliste für chemische, physikalische Labore im SharePoint GöGebS, Bereich Labor! Beispiel: Lagerung von brennbaren Flüssigkeiten über Handmengen von max. 1l Gebinden in einem entsprechenden Sicherheitsschrank.</w:t>
            </w:r>
          </w:p>
        </w:tc>
        <w:tc>
          <w:tcPr>
            <w:tcW w:w="2693" w:type="dxa"/>
            <w:vAlign w:val="center"/>
          </w:tcPr>
          <w:p w:rsidR="00055D7B" w:rsidRDefault="00055D7B" w:rsidP="00AA6726"/>
        </w:tc>
        <w:tc>
          <w:tcPr>
            <w:tcW w:w="2268" w:type="dxa"/>
          </w:tcPr>
          <w:p w:rsidR="00055D7B" w:rsidRDefault="00055D7B" w:rsidP="00AA6726"/>
        </w:tc>
      </w:tr>
      <w:tr w:rsidR="00BD6182" w:rsidTr="00BD6182">
        <w:trPr>
          <w:trHeight w:val="367"/>
        </w:trPr>
        <w:tc>
          <w:tcPr>
            <w:tcW w:w="2155" w:type="dxa"/>
            <w:vMerge w:val="restart"/>
            <w:vAlign w:val="center"/>
          </w:tcPr>
          <w:p w:rsidR="00BD6182" w:rsidRDefault="00BD6182" w:rsidP="00055D7B">
            <w:r>
              <w:t>Autoklav</w:t>
            </w:r>
          </w:p>
          <w:p w:rsidR="00BD6182" w:rsidRDefault="00BD6182" w:rsidP="00055D7B">
            <w:hyperlink r:id="rId8" w:history="1">
              <w:r w:rsidRPr="00BD6D39">
                <w:rPr>
                  <w:rStyle w:val="Hyperlink"/>
                </w:rPr>
                <w:t>Info Link</w:t>
              </w:r>
            </w:hyperlink>
          </w:p>
        </w:tc>
        <w:tc>
          <w:tcPr>
            <w:tcW w:w="6804" w:type="dxa"/>
          </w:tcPr>
          <w:p w:rsidR="00BD6182" w:rsidRPr="00D45A82" w:rsidRDefault="00BD6182" w:rsidP="00BD6182">
            <w:pPr>
              <w:jc w:val="both"/>
            </w:pPr>
            <w:r w:rsidRPr="00A86D1B">
              <w:t xml:space="preserve">Ein Autoklav </w:t>
            </w:r>
            <w:r w:rsidRPr="00DD0D53">
              <w:t xml:space="preserve">muss </w:t>
            </w:r>
            <w:r w:rsidRPr="00A86D1B">
              <w:t>innerhalb des Betriebsgeländes</w:t>
            </w:r>
            <w:r>
              <w:t xml:space="preserve"> des Standortes</w:t>
            </w:r>
            <w:r w:rsidRPr="00A86D1B">
              <w:t xml:space="preserve"> vorhanden sein</w:t>
            </w:r>
            <w:r>
              <w:t xml:space="preserve">. </w:t>
            </w:r>
          </w:p>
        </w:tc>
        <w:sdt>
          <w:sdtPr>
            <w:id w:val="-367994690"/>
            <w14:checkbox>
              <w14:checked w14:val="0"/>
              <w14:checkedState w14:val="2612" w14:font="MS Gothic"/>
              <w14:uncheckedState w14:val="2610" w14:font="MS Gothic"/>
            </w14:checkbox>
          </w:sdtPr>
          <w:sdtContent>
            <w:tc>
              <w:tcPr>
                <w:tcW w:w="426" w:type="dxa"/>
                <w:vAlign w:val="center"/>
              </w:tcPr>
              <w:p w:rsidR="00BD6182" w:rsidRDefault="00BD6182" w:rsidP="00AA6726">
                <w:pPr>
                  <w:jc w:val="center"/>
                </w:pPr>
                <w:r>
                  <w:rPr>
                    <w:rFonts w:ascii="MS Gothic" w:eastAsia="MS Gothic" w:hAnsi="MS Gothic" w:hint="eastAsia"/>
                  </w:rPr>
                  <w:t>☐</w:t>
                </w:r>
              </w:p>
            </w:tc>
          </w:sdtContent>
        </w:sdt>
        <w:sdt>
          <w:sdtPr>
            <w:id w:val="-490399047"/>
            <w14:checkbox>
              <w14:checked w14:val="0"/>
              <w14:checkedState w14:val="2612" w14:font="MS Gothic"/>
              <w14:uncheckedState w14:val="2610" w14:font="MS Gothic"/>
            </w14:checkbox>
          </w:sdtPr>
          <w:sdtContent>
            <w:tc>
              <w:tcPr>
                <w:tcW w:w="425" w:type="dxa"/>
                <w:vAlign w:val="center"/>
              </w:tcPr>
              <w:p w:rsidR="00BD6182" w:rsidRDefault="00BD6182" w:rsidP="004419BF">
                <w:pPr>
                  <w:jc w:val="center"/>
                </w:pPr>
                <w:r>
                  <w:rPr>
                    <w:rFonts w:ascii="MS Gothic" w:eastAsia="MS Gothic" w:hAnsi="MS Gothic" w:hint="eastAsia"/>
                  </w:rPr>
                  <w:t>☐</w:t>
                </w:r>
              </w:p>
            </w:tc>
          </w:sdtContent>
        </w:sdt>
        <w:sdt>
          <w:sdtPr>
            <w:id w:val="1905724947"/>
            <w14:checkbox>
              <w14:checked w14:val="0"/>
              <w14:checkedState w14:val="2612" w14:font="MS Gothic"/>
              <w14:uncheckedState w14:val="2610" w14:font="MS Gothic"/>
            </w14:checkbox>
          </w:sdtPr>
          <w:sdtContent>
            <w:tc>
              <w:tcPr>
                <w:tcW w:w="567" w:type="dxa"/>
                <w:vAlign w:val="center"/>
              </w:tcPr>
              <w:p w:rsidR="00BD6182" w:rsidRDefault="00BD6182" w:rsidP="004419BF">
                <w:pPr>
                  <w:jc w:val="center"/>
                </w:pPr>
                <w:r>
                  <w:rPr>
                    <w:rFonts w:ascii="MS Gothic" w:eastAsia="MS Gothic" w:hAnsi="MS Gothic" w:hint="eastAsia"/>
                  </w:rPr>
                  <w:t>☐</w:t>
                </w:r>
              </w:p>
            </w:tc>
          </w:sdtContent>
        </w:sdt>
        <w:tc>
          <w:tcPr>
            <w:tcW w:w="2693" w:type="dxa"/>
            <w:vMerge w:val="restart"/>
            <w:vAlign w:val="center"/>
          </w:tcPr>
          <w:p w:rsidR="00BD6182" w:rsidRDefault="00BD6182" w:rsidP="00AA6726"/>
        </w:tc>
        <w:tc>
          <w:tcPr>
            <w:tcW w:w="2268" w:type="dxa"/>
            <w:vMerge w:val="restart"/>
          </w:tcPr>
          <w:p w:rsidR="00BD6182" w:rsidRDefault="00BD6182" w:rsidP="00AA6726"/>
        </w:tc>
      </w:tr>
      <w:tr w:rsidR="00BD6182" w:rsidTr="006925C1">
        <w:trPr>
          <w:trHeight w:val="367"/>
        </w:trPr>
        <w:tc>
          <w:tcPr>
            <w:tcW w:w="2155" w:type="dxa"/>
            <w:vMerge/>
            <w:vAlign w:val="center"/>
          </w:tcPr>
          <w:p w:rsidR="00BD6182" w:rsidRDefault="00BD6182" w:rsidP="00055D7B"/>
        </w:tc>
        <w:tc>
          <w:tcPr>
            <w:tcW w:w="6804" w:type="dxa"/>
          </w:tcPr>
          <w:p w:rsidR="00BD6182" w:rsidRPr="00A86D1B" w:rsidRDefault="00BD6182" w:rsidP="00BD6182">
            <w:pPr>
              <w:jc w:val="both"/>
            </w:pPr>
            <w:r>
              <w:t>Für die Sterilisation von Festabf</w:t>
            </w:r>
            <w:r>
              <w:t>ä</w:t>
            </w:r>
            <w:r>
              <w:t>llen muss der Autoklav ein fraktioniertes Vorvakuum besitzen.</w:t>
            </w:r>
          </w:p>
        </w:tc>
        <w:sdt>
          <w:sdtPr>
            <w:id w:val="1162357907"/>
            <w14:checkbox>
              <w14:checked w14:val="0"/>
              <w14:checkedState w14:val="2612" w14:font="MS Gothic"/>
              <w14:uncheckedState w14:val="2610" w14:font="MS Gothic"/>
            </w14:checkbox>
          </w:sdtPr>
          <w:sdtContent>
            <w:tc>
              <w:tcPr>
                <w:tcW w:w="426" w:type="dxa"/>
                <w:vAlign w:val="center"/>
              </w:tcPr>
              <w:p w:rsidR="00BD6182" w:rsidRDefault="00BD6182" w:rsidP="00AA6726">
                <w:pPr>
                  <w:jc w:val="center"/>
                </w:pPr>
                <w:r>
                  <w:rPr>
                    <w:rFonts w:ascii="MS Gothic" w:eastAsia="MS Gothic" w:hAnsi="MS Gothic" w:hint="eastAsia"/>
                  </w:rPr>
                  <w:t>☐</w:t>
                </w:r>
              </w:p>
            </w:tc>
          </w:sdtContent>
        </w:sdt>
        <w:sdt>
          <w:sdtPr>
            <w:id w:val="1435868707"/>
            <w14:checkbox>
              <w14:checked w14:val="0"/>
              <w14:checkedState w14:val="2612" w14:font="MS Gothic"/>
              <w14:uncheckedState w14:val="2610" w14:font="MS Gothic"/>
            </w14:checkbox>
          </w:sdtPr>
          <w:sdtContent>
            <w:tc>
              <w:tcPr>
                <w:tcW w:w="425" w:type="dxa"/>
                <w:vAlign w:val="center"/>
              </w:tcPr>
              <w:p w:rsidR="00BD6182" w:rsidRDefault="00BD6182" w:rsidP="004419BF">
                <w:pPr>
                  <w:jc w:val="center"/>
                </w:pPr>
                <w:r>
                  <w:rPr>
                    <w:rFonts w:ascii="MS Gothic" w:eastAsia="MS Gothic" w:hAnsi="MS Gothic" w:hint="eastAsia"/>
                  </w:rPr>
                  <w:t>☐</w:t>
                </w:r>
              </w:p>
            </w:tc>
          </w:sdtContent>
        </w:sdt>
        <w:sdt>
          <w:sdtPr>
            <w:id w:val="7566889"/>
            <w14:checkbox>
              <w14:checked w14:val="0"/>
              <w14:checkedState w14:val="2612" w14:font="MS Gothic"/>
              <w14:uncheckedState w14:val="2610" w14:font="MS Gothic"/>
            </w14:checkbox>
          </w:sdtPr>
          <w:sdtContent>
            <w:tc>
              <w:tcPr>
                <w:tcW w:w="567" w:type="dxa"/>
                <w:vAlign w:val="center"/>
              </w:tcPr>
              <w:p w:rsidR="00BD6182" w:rsidRDefault="00BD6182" w:rsidP="004419BF">
                <w:pPr>
                  <w:jc w:val="center"/>
                </w:pPr>
                <w:r>
                  <w:rPr>
                    <w:rFonts w:ascii="MS Gothic" w:eastAsia="MS Gothic" w:hAnsi="MS Gothic" w:hint="eastAsia"/>
                  </w:rPr>
                  <w:t>☐</w:t>
                </w:r>
              </w:p>
            </w:tc>
          </w:sdtContent>
        </w:sdt>
        <w:tc>
          <w:tcPr>
            <w:tcW w:w="2693" w:type="dxa"/>
            <w:vMerge/>
            <w:vAlign w:val="center"/>
          </w:tcPr>
          <w:p w:rsidR="00BD6182" w:rsidRDefault="00BD6182" w:rsidP="00AA6726"/>
        </w:tc>
        <w:tc>
          <w:tcPr>
            <w:tcW w:w="2268" w:type="dxa"/>
            <w:vMerge/>
          </w:tcPr>
          <w:p w:rsidR="00BD6182" w:rsidRDefault="00BD6182" w:rsidP="00AA6726"/>
        </w:tc>
      </w:tr>
      <w:tr w:rsidR="00BD6182" w:rsidTr="006925C1">
        <w:tc>
          <w:tcPr>
            <w:tcW w:w="2155" w:type="dxa"/>
            <w:vMerge/>
            <w:vAlign w:val="center"/>
          </w:tcPr>
          <w:p w:rsidR="00BD6182" w:rsidRDefault="00BD6182" w:rsidP="00055D7B"/>
        </w:tc>
        <w:tc>
          <w:tcPr>
            <w:tcW w:w="6804" w:type="dxa"/>
          </w:tcPr>
          <w:p w:rsidR="00BD6182" w:rsidRPr="00A86D1B" w:rsidRDefault="00BD6182" w:rsidP="008B3C83">
            <w:pPr>
              <w:jc w:val="both"/>
            </w:pPr>
            <w:r w:rsidRPr="00167A9B">
              <w:t>Eine</w:t>
            </w:r>
            <w:r>
              <w:rPr>
                <w:b/>
              </w:rPr>
              <w:t xml:space="preserve"> </w:t>
            </w:r>
            <w:r w:rsidRPr="00904E3A">
              <w:rPr>
                <w:b/>
              </w:rPr>
              <w:t>jährliche Funk</w:t>
            </w:r>
            <w:r w:rsidRPr="00904E3A">
              <w:rPr>
                <w:b/>
              </w:rPr>
              <w:softHyphen/>
              <w:t>tionsprüfung</w:t>
            </w:r>
            <w:r w:rsidRPr="00F2743E">
              <w:t xml:space="preserve"> des Autoklavs mittels </w:t>
            </w:r>
            <w:r>
              <w:t>I</w:t>
            </w:r>
            <w:r w:rsidRPr="00F2743E">
              <w:t>ndikatoren</w:t>
            </w:r>
            <w:r>
              <w:t xml:space="preserve"> wird durchgeführt und dokumentiert.</w:t>
            </w:r>
          </w:p>
        </w:tc>
        <w:sdt>
          <w:sdtPr>
            <w:id w:val="623198536"/>
            <w14:checkbox>
              <w14:checked w14:val="0"/>
              <w14:checkedState w14:val="2612" w14:font="MS Gothic"/>
              <w14:uncheckedState w14:val="2610" w14:font="MS Gothic"/>
            </w14:checkbox>
          </w:sdtPr>
          <w:sdtContent>
            <w:tc>
              <w:tcPr>
                <w:tcW w:w="426" w:type="dxa"/>
                <w:vAlign w:val="center"/>
              </w:tcPr>
              <w:p w:rsidR="00BD6182" w:rsidRDefault="00BD6182" w:rsidP="00AA6726">
                <w:pPr>
                  <w:jc w:val="center"/>
                </w:pPr>
                <w:r>
                  <w:rPr>
                    <w:rFonts w:ascii="MS Gothic" w:eastAsia="MS Gothic" w:hAnsi="MS Gothic" w:hint="eastAsia"/>
                  </w:rPr>
                  <w:t>☐</w:t>
                </w:r>
              </w:p>
            </w:tc>
          </w:sdtContent>
        </w:sdt>
        <w:sdt>
          <w:sdtPr>
            <w:id w:val="-1217665826"/>
            <w14:checkbox>
              <w14:checked w14:val="0"/>
              <w14:checkedState w14:val="2612" w14:font="MS Gothic"/>
              <w14:uncheckedState w14:val="2610" w14:font="MS Gothic"/>
            </w14:checkbox>
          </w:sdtPr>
          <w:sdtContent>
            <w:tc>
              <w:tcPr>
                <w:tcW w:w="425" w:type="dxa"/>
                <w:vAlign w:val="center"/>
              </w:tcPr>
              <w:p w:rsidR="00BD6182" w:rsidRDefault="00BD6182" w:rsidP="004419BF">
                <w:pPr>
                  <w:jc w:val="center"/>
                </w:pPr>
                <w:r>
                  <w:rPr>
                    <w:rFonts w:ascii="MS Gothic" w:eastAsia="MS Gothic" w:hAnsi="MS Gothic" w:hint="eastAsia"/>
                  </w:rPr>
                  <w:t>☐</w:t>
                </w:r>
              </w:p>
            </w:tc>
          </w:sdtContent>
        </w:sdt>
        <w:sdt>
          <w:sdtPr>
            <w:id w:val="-1812019085"/>
            <w14:checkbox>
              <w14:checked w14:val="0"/>
              <w14:checkedState w14:val="2612" w14:font="MS Gothic"/>
              <w14:uncheckedState w14:val="2610" w14:font="MS Gothic"/>
            </w14:checkbox>
          </w:sdtPr>
          <w:sdtContent>
            <w:tc>
              <w:tcPr>
                <w:tcW w:w="567" w:type="dxa"/>
                <w:vAlign w:val="center"/>
              </w:tcPr>
              <w:p w:rsidR="00BD6182" w:rsidRDefault="00BD6182" w:rsidP="004419BF">
                <w:pPr>
                  <w:jc w:val="center"/>
                </w:pPr>
                <w:r>
                  <w:rPr>
                    <w:rFonts w:ascii="MS Gothic" w:eastAsia="MS Gothic" w:hAnsi="MS Gothic" w:hint="eastAsia"/>
                  </w:rPr>
                  <w:t>☐</w:t>
                </w:r>
              </w:p>
            </w:tc>
          </w:sdtContent>
        </w:sdt>
        <w:tc>
          <w:tcPr>
            <w:tcW w:w="2693" w:type="dxa"/>
            <w:vAlign w:val="center"/>
          </w:tcPr>
          <w:p w:rsidR="00BD6182" w:rsidRDefault="00BD6182" w:rsidP="00AA6726"/>
        </w:tc>
        <w:tc>
          <w:tcPr>
            <w:tcW w:w="2268" w:type="dxa"/>
          </w:tcPr>
          <w:p w:rsidR="00BD6182" w:rsidRDefault="00BD6182" w:rsidP="00AA6726"/>
        </w:tc>
      </w:tr>
      <w:tr w:rsidR="00122DED" w:rsidRPr="008B3C83" w:rsidTr="006925C1">
        <w:tc>
          <w:tcPr>
            <w:tcW w:w="2155" w:type="dxa"/>
            <w:vAlign w:val="center"/>
          </w:tcPr>
          <w:p w:rsidR="00122DED" w:rsidRDefault="00122DED" w:rsidP="00055D7B">
            <w:pPr>
              <w:ind w:right="28"/>
            </w:pPr>
            <w:r>
              <w:t>Umgang mit Kanülen</w:t>
            </w:r>
          </w:p>
        </w:tc>
        <w:tc>
          <w:tcPr>
            <w:tcW w:w="6804" w:type="dxa"/>
          </w:tcPr>
          <w:p w:rsidR="00122DED" w:rsidRPr="00EB7620" w:rsidRDefault="00122DED" w:rsidP="0030729E">
            <w:pPr>
              <w:ind w:right="28"/>
              <w:jc w:val="both"/>
            </w:pPr>
            <w:r w:rsidRPr="00C73FAF">
              <w:t>Spritzen und Kanülen sollen nur, wenn unbedingt nötig benutzt werden.</w:t>
            </w:r>
            <w:r>
              <w:t xml:space="preserve"> Kanülen dürfen nicht in di</w:t>
            </w:r>
            <w:r w:rsidR="0030729E">
              <w:t>e Hülle zurückgesteckt werden.</w:t>
            </w:r>
          </w:p>
        </w:tc>
        <w:sdt>
          <w:sdtPr>
            <w:rPr>
              <w:rFonts w:ascii="MS Gothic" w:eastAsia="MS Gothic" w:hAnsi="MS Gothic" w:cs="Segoe UI Symbol"/>
            </w:rPr>
            <w:id w:val="-1636936661"/>
            <w14:checkbox>
              <w14:checked w14:val="0"/>
              <w14:checkedState w14:val="2612" w14:font="MS Gothic"/>
              <w14:uncheckedState w14:val="2610" w14:font="MS Gothic"/>
            </w14:checkbox>
          </w:sdtPr>
          <w:sdtEndPr/>
          <w:sdtContent>
            <w:tc>
              <w:tcPr>
                <w:tcW w:w="426" w:type="dxa"/>
                <w:vAlign w:val="center"/>
              </w:tcPr>
              <w:p w:rsidR="00122DED" w:rsidRDefault="007D7305" w:rsidP="00E64640">
                <w:pPr>
                  <w:ind w:right="28"/>
                  <w:jc w:val="center"/>
                </w:pPr>
                <w:r>
                  <w:rPr>
                    <w:rFonts w:ascii="MS Gothic" w:eastAsia="MS Gothic" w:hAnsi="MS Gothic" w:cs="Segoe UI Symbol" w:hint="eastAsia"/>
                  </w:rPr>
                  <w:t>☐</w:t>
                </w:r>
              </w:p>
            </w:tc>
          </w:sdtContent>
        </w:sdt>
        <w:sdt>
          <w:sdtPr>
            <w:id w:val="-1219432651"/>
            <w14:checkbox>
              <w14:checked w14:val="0"/>
              <w14:checkedState w14:val="2612" w14:font="MS Gothic"/>
              <w14:uncheckedState w14:val="2610" w14:font="MS Gothic"/>
            </w14:checkbox>
          </w:sdtPr>
          <w:sdtEndPr/>
          <w:sdtContent>
            <w:tc>
              <w:tcPr>
                <w:tcW w:w="425" w:type="dxa"/>
                <w:vAlign w:val="center"/>
              </w:tcPr>
              <w:p w:rsidR="00122DED" w:rsidRDefault="00122DED" w:rsidP="00E64640">
                <w:pPr>
                  <w:ind w:right="28"/>
                  <w:jc w:val="center"/>
                </w:pPr>
                <w:r>
                  <w:rPr>
                    <w:rFonts w:ascii="MS Gothic" w:eastAsia="MS Gothic" w:hAnsi="MS Gothic" w:hint="eastAsia"/>
                  </w:rPr>
                  <w:t>☐</w:t>
                </w:r>
              </w:p>
            </w:tc>
          </w:sdtContent>
        </w:sdt>
        <w:sdt>
          <w:sdtPr>
            <w:id w:val="1128820752"/>
            <w14:checkbox>
              <w14:checked w14:val="0"/>
              <w14:checkedState w14:val="2612" w14:font="MS Gothic"/>
              <w14:uncheckedState w14:val="2610" w14:font="MS Gothic"/>
            </w14:checkbox>
          </w:sdtPr>
          <w:sdtEndPr/>
          <w:sdtContent>
            <w:tc>
              <w:tcPr>
                <w:tcW w:w="567" w:type="dxa"/>
                <w:vAlign w:val="center"/>
              </w:tcPr>
              <w:p w:rsidR="00122DED" w:rsidRDefault="00122DED" w:rsidP="00E64640">
                <w:pPr>
                  <w:ind w:right="28"/>
                  <w:jc w:val="center"/>
                </w:pPr>
                <w:r>
                  <w:rPr>
                    <w:rFonts w:ascii="MS Gothic" w:eastAsia="MS Gothic" w:hAnsi="MS Gothic" w:hint="eastAsia"/>
                  </w:rPr>
                  <w:t>☐</w:t>
                </w:r>
              </w:p>
            </w:tc>
          </w:sdtContent>
        </w:sdt>
        <w:tc>
          <w:tcPr>
            <w:tcW w:w="2693" w:type="dxa"/>
            <w:vAlign w:val="center"/>
          </w:tcPr>
          <w:p w:rsidR="00122DED" w:rsidRDefault="00122DED" w:rsidP="008B3C83">
            <w:pPr>
              <w:ind w:left="176" w:right="28"/>
            </w:pPr>
          </w:p>
        </w:tc>
        <w:tc>
          <w:tcPr>
            <w:tcW w:w="2268" w:type="dxa"/>
          </w:tcPr>
          <w:p w:rsidR="00122DED" w:rsidRDefault="00122DED" w:rsidP="008B3C83">
            <w:pPr>
              <w:ind w:left="176" w:right="28"/>
            </w:pPr>
          </w:p>
        </w:tc>
      </w:tr>
      <w:tr w:rsidR="00122DED" w:rsidTr="006925C1">
        <w:tc>
          <w:tcPr>
            <w:tcW w:w="2155" w:type="dxa"/>
            <w:vAlign w:val="center"/>
          </w:tcPr>
          <w:p w:rsidR="00122DED" w:rsidRDefault="00122DED" w:rsidP="00055D7B">
            <w:pPr>
              <w:ind w:right="28"/>
            </w:pPr>
            <w:r>
              <w:t>Aerosole</w:t>
            </w:r>
          </w:p>
        </w:tc>
        <w:tc>
          <w:tcPr>
            <w:tcW w:w="6804" w:type="dxa"/>
          </w:tcPr>
          <w:p w:rsidR="00122DED" w:rsidRPr="00EB7620" w:rsidRDefault="00E90A29" w:rsidP="00E90A29">
            <w:pPr>
              <w:jc w:val="both"/>
            </w:pPr>
            <w:r>
              <w:t xml:space="preserve">Umgang mit biologischen Arbeitsstoffen mit toxischer oder sensibilisierender Wirkung: </w:t>
            </w:r>
            <w:r w:rsidR="00122DED">
              <w:t xml:space="preserve">Aerosolbildung soll </w:t>
            </w:r>
            <w:r>
              <w:t>vermieden werden</w:t>
            </w:r>
            <w:r w:rsidR="00122DED">
              <w:t>. Der Einsatz einer Sicherheitswerkbank bzw. aerosoldichter Zentrifugengefäße kann dann erforderlich sein.</w:t>
            </w:r>
          </w:p>
        </w:tc>
        <w:sdt>
          <w:sdtPr>
            <w:id w:val="1722946754"/>
            <w14:checkbox>
              <w14:checked w14:val="0"/>
              <w14:checkedState w14:val="2612" w14:font="MS Gothic"/>
              <w14:uncheckedState w14:val="2610" w14:font="MS Gothic"/>
            </w14:checkbox>
          </w:sdtPr>
          <w:sdtEndPr/>
          <w:sdtContent>
            <w:tc>
              <w:tcPr>
                <w:tcW w:w="426" w:type="dxa"/>
                <w:vAlign w:val="center"/>
              </w:tcPr>
              <w:p w:rsidR="00122DED" w:rsidRDefault="00122DED" w:rsidP="00E64640">
                <w:pPr>
                  <w:jc w:val="center"/>
                </w:pPr>
                <w:r>
                  <w:rPr>
                    <w:rFonts w:ascii="MS Gothic" w:eastAsia="MS Gothic" w:hAnsi="MS Gothic" w:hint="eastAsia"/>
                  </w:rPr>
                  <w:t>☐</w:t>
                </w:r>
              </w:p>
            </w:tc>
          </w:sdtContent>
        </w:sdt>
        <w:sdt>
          <w:sdtPr>
            <w:id w:val="1563210069"/>
            <w14:checkbox>
              <w14:checked w14:val="0"/>
              <w14:checkedState w14:val="2612" w14:font="MS Gothic"/>
              <w14:uncheckedState w14:val="2610" w14:font="MS Gothic"/>
            </w14:checkbox>
          </w:sdtPr>
          <w:sdtEndPr/>
          <w:sdtContent>
            <w:tc>
              <w:tcPr>
                <w:tcW w:w="425" w:type="dxa"/>
                <w:vAlign w:val="center"/>
              </w:tcPr>
              <w:p w:rsidR="00122DED" w:rsidRDefault="00122DED" w:rsidP="00E64640">
                <w:pPr>
                  <w:jc w:val="center"/>
                </w:pPr>
                <w:r>
                  <w:rPr>
                    <w:rFonts w:ascii="MS Gothic" w:eastAsia="MS Gothic" w:hAnsi="MS Gothic" w:hint="eastAsia"/>
                  </w:rPr>
                  <w:t>☐</w:t>
                </w:r>
              </w:p>
            </w:tc>
          </w:sdtContent>
        </w:sdt>
        <w:sdt>
          <w:sdtPr>
            <w:id w:val="1919517282"/>
            <w14:checkbox>
              <w14:checked w14:val="0"/>
              <w14:checkedState w14:val="2612" w14:font="MS Gothic"/>
              <w14:uncheckedState w14:val="2610" w14:font="MS Gothic"/>
            </w14:checkbox>
          </w:sdtPr>
          <w:sdtEndPr/>
          <w:sdtContent>
            <w:tc>
              <w:tcPr>
                <w:tcW w:w="567" w:type="dxa"/>
                <w:vAlign w:val="center"/>
              </w:tcPr>
              <w:p w:rsidR="00122DED" w:rsidRDefault="007D7305" w:rsidP="00E64640">
                <w:pPr>
                  <w:jc w:val="center"/>
                </w:pPr>
                <w:r>
                  <w:rPr>
                    <w:rFonts w:ascii="MS Gothic" w:eastAsia="MS Gothic" w:hAnsi="MS Gothic" w:hint="eastAsia"/>
                  </w:rPr>
                  <w:t>☐</w:t>
                </w:r>
              </w:p>
            </w:tc>
          </w:sdtContent>
        </w:sdt>
        <w:tc>
          <w:tcPr>
            <w:tcW w:w="2693" w:type="dxa"/>
            <w:vAlign w:val="center"/>
          </w:tcPr>
          <w:p w:rsidR="00122DED" w:rsidRDefault="00122DED" w:rsidP="00AA6726"/>
        </w:tc>
        <w:tc>
          <w:tcPr>
            <w:tcW w:w="2268" w:type="dxa"/>
          </w:tcPr>
          <w:p w:rsidR="00122DED" w:rsidRDefault="00122DED" w:rsidP="00AA6726"/>
        </w:tc>
      </w:tr>
      <w:tr w:rsidR="00055D7B" w:rsidTr="006925C1">
        <w:tc>
          <w:tcPr>
            <w:tcW w:w="2155" w:type="dxa"/>
            <w:vAlign w:val="center"/>
          </w:tcPr>
          <w:p w:rsidR="00055D7B" w:rsidRDefault="00055D7B" w:rsidP="00055D7B">
            <w:pPr>
              <w:ind w:right="28"/>
            </w:pPr>
            <w:proofErr w:type="spellStart"/>
            <w:r>
              <w:t>Sicherheitstechni</w:t>
            </w:r>
            <w:r w:rsidR="00BD6182">
              <w:t>-</w:t>
            </w:r>
            <w:r>
              <w:t>sche</w:t>
            </w:r>
            <w:proofErr w:type="spellEnd"/>
            <w:r>
              <w:t xml:space="preserve"> Ausstattung</w:t>
            </w:r>
          </w:p>
        </w:tc>
        <w:tc>
          <w:tcPr>
            <w:tcW w:w="6804" w:type="dxa"/>
          </w:tcPr>
          <w:p w:rsidR="00055D7B" w:rsidRPr="00A02E56" w:rsidRDefault="00055D7B" w:rsidP="00055D7B">
            <w:pPr>
              <w:jc w:val="both"/>
            </w:pPr>
            <w:r w:rsidRPr="00A02E56">
              <w:t xml:space="preserve">Weitere </w:t>
            </w:r>
            <w:proofErr w:type="spellStart"/>
            <w:r w:rsidRPr="00A02E56">
              <w:t>sich</w:t>
            </w:r>
            <w:r>
              <w:t>er</w:t>
            </w:r>
            <w:r w:rsidRPr="00A02E56">
              <w:t>heitstech</w:t>
            </w:r>
            <w:proofErr w:type="spellEnd"/>
            <w:r w:rsidRPr="00A02E56">
              <w:t xml:space="preserve">. </w:t>
            </w:r>
            <w:r>
              <w:t xml:space="preserve">Ausstattung </w:t>
            </w:r>
            <w:r w:rsidRPr="00A02E56">
              <w:t>vorhanden? Wenn ja, welche?</w:t>
            </w:r>
          </w:p>
          <w:p w:rsidR="00055D7B" w:rsidRPr="00A02E56" w:rsidRDefault="00055D7B" w:rsidP="00055D7B">
            <w:pPr>
              <w:jc w:val="both"/>
              <w:rPr>
                <w:sz w:val="20"/>
                <w:szCs w:val="20"/>
              </w:rPr>
            </w:pPr>
            <w:r w:rsidRPr="00055D7B">
              <w:rPr>
                <w:sz w:val="18"/>
                <w:szCs w:val="18"/>
              </w:rPr>
              <w:t xml:space="preserve">Neben dem Autoklav zur Vernichtung von GVOs, können auch andere technische Geräte/Einrichtungen unter bestimmten Bedingungen in S1 verpflichtend für den Schutz </w:t>
            </w:r>
            <w:r w:rsidRPr="00055D7B">
              <w:rPr>
                <w:sz w:val="18"/>
                <w:szCs w:val="18"/>
              </w:rPr>
              <w:lastRenderedPageBreak/>
              <w:t>von Mensch und Umwelt sein. Siehe auch Punkt „Aerosole“ für den Einsatz</w:t>
            </w:r>
            <w:r w:rsidRPr="00A02E56">
              <w:rPr>
                <w:sz w:val="20"/>
                <w:szCs w:val="20"/>
              </w:rPr>
              <w:t xml:space="preserve"> einer </w:t>
            </w:r>
            <w:r w:rsidRPr="00055D7B">
              <w:rPr>
                <w:sz w:val="18"/>
                <w:szCs w:val="18"/>
              </w:rPr>
              <w:t xml:space="preserve">Sicherheitswerkbank sowie das Merkblatt  </w:t>
            </w:r>
            <w:r>
              <w:rPr>
                <w:sz w:val="18"/>
                <w:szCs w:val="18"/>
              </w:rPr>
              <w:t>Anzeigen und Mitteilungen</w:t>
            </w:r>
            <w:r w:rsidRPr="00055D7B">
              <w:rPr>
                <w:sz w:val="18"/>
                <w:szCs w:val="18"/>
              </w:rPr>
              <w:t xml:space="preserve"> für weitere Infos.</w:t>
            </w:r>
          </w:p>
        </w:tc>
        <w:sdt>
          <w:sdtPr>
            <w:id w:val="-1989083679"/>
            <w14:checkbox>
              <w14:checked w14:val="0"/>
              <w14:checkedState w14:val="2612" w14:font="MS Gothic"/>
              <w14:uncheckedState w14:val="2610" w14:font="MS Gothic"/>
            </w14:checkbox>
          </w:sdtPr>
          <w:sdtContent>
            <w:tc>
              <w:tcPr>
                <w:tcW w:w="426" w:type="dxa"/>
                <w:vAlign w:val="center"/>
              </w:tcPr>
              <w:p w:rsidR="00055D7B" w:rsidRDefault="00055D7B" w:rsidP="00055D7B">
                <w:pPr>
                  <w:jc w:val="center"/>
                </w:pPr>
                <w:r>
                  <w:rPr>
                    <w:rFonts w:ascii="MS Gothic" w:eastAsia="MS Gothic" w:hAnsi="MS Gothic" w:hint="eastAsia"/>
                  </w:rPr>
                  <w:t>☐</w:t>
                </w:r>
              </w:p>
            </w:tc>
          </w:sdtContent>
        </w:sdt>
        <w:sdt>
          <w:sdtPr>
            <w:id w:val="438948745"/>
            <w14:checkbox>
              <w14:checked w14:val="0"/>
              <w14:checkedState w14:val="2612" w14:font="MS Gothic"/>
              <w14:uncheckedState w14:val="2610" w14:font="MS Gothic"/>
            </w14:checkbox>
          </w:sdtPr>
          <w:sdtContent>
            <w:tc>
              <w:tcPr>
                <w:tcW w:w="425" w:type="dxa"/>
                <w:vAlign w:val="center"/>
              </w:tcPr>
              <w:p w:rsidR="00055D7B" w:rsidRDefault="00055D7B" w:rsidP="00055D7B">
                <w:pPr>
                  <w:jc w:val="center"/>
                </w:pPr>
                <w:r>
                  <w:rPr>
                    <w:rFonts w:ascii="MS Gothic" w:eastAsia="MS Gothic" w:hAnsi="MS Gothic" w:hint="eastAsia"/>
                  </w:rPr>
                  <w:t>☐</w:t>
                </w:r>
              </w:p>
            </w:tc>
          </w:sdtContent>
        </w:sdt>
        <w:sdt>
          <w:sdtPr>
            <w:id w:val="-1554458011"/>
            <w14:checkbox>
              <w14:checked w14:val="0"/>
              <w14:checkedState w14:val="2612" w14:font="MS Gothic"/>
              <w14:uncheckedState w14:val="2610" w14:font="MS Gothic"/>
            </w14:checkbox>
          </w:sdtPr>
          <w:sdtContent>
            <w:tc>
              <w:tcPr>
                <w:tcW w:w="567" w:type="dxa"/>
                <w:vAlign w:val="center"/>
              </w:tcPr>
              <w:p w:rsidR="00055D7B" w:rsidRDefault="00055D7B" w:rsidP="00055D7B">
                <w:pPr>
                  <w:jc w:val="center"/>
                </w:pPr>
                <w:r>
                  <w:rPr>
                    <w:rFonts w:ascii="MS Gothic" w:eastAsia="MS Gothic" w:hAnsi="MS Gothic" w:hint="eastAsia"/>
                  </w:rPr>
                  <w:t>☐</w:t>
                </w:r>
              </w:p>
            </w:tc>
          </w:sdtContent>
        </w:sdt>
        <w:tc>
          <w:tcPr>
            <w:tcW w:w="2693" w:type="dxa"/>
            <w:vAlign w:val="center"/>
          </w:tcPr>
          <w:p w:rsidR="00055D7B" w:rsidRDefault="00055D7B" w:rsidP="00055D7B"/>
        </w:tc>
        <w:tc>
          <w:tcPr>
            <w:tcW w:w="2268" w:type="dxa"/>
          </w:tcPr>
          <w:p w:rsidR="00055D7B" w:rsidRDefault="00055D7B" w:rsidP="00055D7B"/>
        </w:tc>
      </w:tr>
      <w:tr w:rsidR="00055D7B" w:rsidRPr="00F13B67" w:rsidTr="00D2701E">
        <w:tc>
          <w:tcPr>
            <w:tcW w:w="15338" w:type="dxa"/>
            <w:gridSpan w:val="7"/>
            <w:shd w:val="clear" w:color="auto" w:fill="D9D9D9" w:themeFill="background1" w:themeFillShade="D9"/>
            <w:vAlign w:val="center"/>
          </w:tcPr>
          <w:p w:rsidR="00055D7B" w:rsidRPr="006925C1" w:rsidRDefault="00055D7B" w:rsidP="00055D7B">
            <w:pPr>
              <w:ind w:left="360"/>
              <w:rPr>
                <w:b/>
                <w:vanish/>
              </w:rPr>
            </w:pPr>
            <w:r w:rsidRPr="006925C1">
              <w:rPr>
                <w:b/>
              </w:rPr>
              <w:t>Organisatorische Anforderungen</w:t>
            </w:r>
          </w:p>
        </w:tc>
      </w:tr>
      <w:tr w:rsidR="00055D7B" w:rsidTr="00D2701E">
        <w:tc>
          <w:tcPr>
            <w:tcW w:w="2155" w:type="dxa"/>
          </w:tcPr>
          <w:p w:rsidR="00055D7B" w:rsidRDefault="00055D7B" w:rsidP="00055D7B">
            <w:r>
              <w:t>Lüften</w:t>
            </w:r>
          </w:p>
        </w:tc>
        <w:tc>
          <w:tcPr>
            <w:tcW w:w="6804" w:type="dxa"/>
          </w:tcPr>
          <w:p w:rsidR="00055D7B" w:rsidRPr="00EB7620" w:rsidRDefault="00055D7B" w:rsidP="00055D7B">
            <w:pPr>
              <w:jc w:val="both"/>
            </w:pPr>
            <w:r>
              <w:t xml:space="preserve">Fenster und </w:t>
            </w:r>
            <w:r w:rsidRPr="00EB7620">
              <w:t xml:space="preserve">Türen der Arbeitsräume </w:t>
            </w:r>
            <w:r w:rsidRPr="00AC3645">
              <w:rPr>
                <w:b/>
              </w:rPr>
              <w:t>sollen</w:t>
            </w:r>
            <w:r w:rsidRPr="00EB7620">
              <w:t xml:space="preserve"> während der Arbeiten geschlossen sein</w:t>
            </w:r>
            <w:r>
              <w:t>, d.h. in den Arbeitspausen darf gelüftet werden.</w:t>
            </w:r>
          </w:p>
        </w:tc>
        <w:sdt>
          <w:sdtPr>
            <w:id w:val="932406170"/>
            <w14:checkbox>
              <w14:checked w14:val="0"/>
              <w14:checkedState w14:val="2612" w14:font="MS Gothic"/>
              <w14:uncheckedState w14:val="2610" w14:font="MS Gothic"/>
            </w14:checkbox>
          </w:sdtPr>
          <w:sdtContent>
            <w:tc>
              <w:tcPr>
                <w:tcW w:w="426" w:type="dxa"/>
                <w:vAlign w:val="center"/>
              </w:tcPr>
              <w:p w:rsidR="00055D7B" w:rsidRDefault="00055D7B" w:rsidP="00055D7B">
                <w:pPr>
                  <w:jc w:val="center"/>
                </w:pPr>
                <w:r>
                  <w:rPr>
                    <w:rFonts w:ascii="MS Gothic" w:eastAsia="MS Gothic" w:hAnsi="MS Gothic" w:hint="eastAsia"/>
                  </w:rPr>
                  <w:t>☐</w:t>
                </w:r>
              </w:p>
            </w:tc>
          </w:sdtContent>
        </w:sdt>
        <w:sdt>
          <w:sdtPr>
            <w:id w:val="-2097781944"/>
            <w14:checkbox>
              <w14:checked w14:val="0"/>
              <w14:checkedState w14:val="2612" w14:font="MS Gothic"/>
              <w14:uncheckedState w14:val="2610" w14:font="MS Gothic"/>
            </w14:checkbox>
          </w:sdtPr>
          <w:sdtContent>
            <w:tc>
              <w:tcPr>
                <w:tcW w:w="425" w:type="dxa"/>
                <w:vAlign w:val="center"/>
              </w:tcPr>
              <w:p w:rsidR="00055D7B" w:rsidRDefault="00055D7B" w:rsidP="00055D7B">
                <w:pPr>
                  <w:jc w:val="center"/>
                </w:pPr>
                <w:r>
                  <w:rPr>
                    <w:rFonts w:ascii="MS Gothic" w:eastAsia="MS Gothic" w:hAnsi="MS Gothic" w:hint="eastAsia"/>
                  </w:rPr>
                  <w:t>☐</w:t>
                </w:r>
              </w:p>
            </w:tc>
          </w:sdtContent>
        </w:sdt>
        <w:sdt>
          <w:sdtPr>
            <w:id w:val="425846490"/>
            <w14:checkbox>
              <w14:checked w14:val="0"/>
              <w14:checkedState w14:val="2612" w14:font="MS Gothic"/>
              <w14:uncheckedState w14:val="2610" w14:font="MS Gothic"/>
            </w14:checkbox>
          </w:sdtPr>
          <w:sdtContent>
            <w:tc>
              <w:tcPr>
                <w:tcW w:w="567" w:type="dxa"/>
                <w:vAlign w:val="center"/>
              </w:tcPr>
              <w:p w:rsidR="00055D7B" w:rsidRDefault="00055D7B" w:rsidP="00055D7B">
                <w:pPr>
                  <w:jc w:val="center"/>
                </w:pPr>
                <w:r>
                  <w:rPr>
                    <w:rFonts w:ascii="MS Gothic" w:eastAsia="MS Gothic" w:hAnsi="MS Gothic" w:hint="eastAsia"/>
                  </w:rPr>
                  <w:t>☐</w:t>
                </w:r>
              </w:p>
            </w:tc>
          </w:sdtContent>
        </w:sdt>
        <w:tc>
          <w:tcPr>
            <w:tcW w:w="2693" w:type="dxa"/>
            <w:vAlign w:val="center"/>
          </w:tcPr>
          <w:p w:rsidR="00055D7B" w:rsidRDefault="00055D7B" w:rsidP="00055D7B"/>
        </w:tc>
        <w:tc>
          <w:tcPr>
            <w:tcW w:w="2268" w:type="dxa"/>
          </w:tcPr>
          <w:p w:rsidR="00055D7B" w:rsidRDefault="00055D7B" w:rsidP="00055D7B"/>
        </w:tc>
      </w:tr>
      <w:tr w:rsidR="00055D7B" w:rsidTr="006925C1">
        <w:tc>
          <w:tcPr>
            <w:tcW w:w="2155" w:type="dxa"/>
            <w:vMerge w:val="restart"/>
            <w:vAlign w:val="center"/>
          </w:tcPr>
          <w:p w:rsidR="00055D7B" w:rsidRDefault="00055D7B" w:rsidP="00055D7B">
            <w:r>
              <w:t>Arbeitsplatz</w:t>
            </w:r>
          </w:p>
        </w:tc>
        <w:tc>
          <w:tcPr>
            <w:tcW w:w="6804" w:type="dxa"/>
          </w:tcPr>
          <w:p w:rsidR="00055D7B" w:rsidRPr="00EB7620" w:rsidRDefault="00055D7B" w:rsidP="00055D7B">
            <w:pPr>
              <w:jc w:val="both"/>
            </w:pPr>
            <w:r w:rsidRPr="00F71F23">
              <w:t>Laborräume sollen aufgeräumt und sauber gehalten werden. Auf de</w:t>
            </w:r>
            <w:r>
              <w:t>n Arbeitstischen sollen nur tatsächlich benötigte</w:t>
            </w:r>
            <w:r w:rsidRPr="00F71F23">
              <w:t xml:space="preserve"> Geräte und Materialien stehen. Vorräte sollen nur in dafür bereitgestellten Räumen</w:t>
            </w:r>
            <w:r>
              <w:t xml:space="preserve"> oder Schränken gelagert werden.</w:t>
            </w:r>
          </w:p>
        </w:tc>
        <w:sdt>
          <w:sdtPr>
            <w:id w:val="1837574535"/>
            <w14:checkbox>
              <w14:checked w14:val="0"/>
              <w14:checkedState w14:val="2612" w14:font="MS Gothic"/>
              <w14:uncheckedState w14:val="2610" w14:font="MS Gothic"/>
            </w14:checkbox>
          </w:sdtPr>
          <w:sdtContent>
            <w:tc>
              <w:tcPr>
                <w:tcW w:w="426" w:type="dxa"/>
                <w:vAlign w:val="center"/>
              </w:tcPr>
              <w:p w:rsidR="00055D7B" w:rsidRDefault="00055D7B" w:rsidP="00055D7B">
                <w:pPr>
                  <w:jc w:val="center"/>
                </w:pPr>
                <w:r>
                  <w:rPr>
                    <w:rFonts w:ascii="MS Gothic" w:eastAsia="MS Gothic" w:hAnsi="MS Gothic" w:hint="eastAsia"/>
                  </w:rPr>
                  <w:t>☐</w:t>
                </w:r>
              </w:p>
            </w:tc>
          </w:sdtContent>
        </w:sdt>
        <w:sdt>
          <w:sdtPr>
            <w:id w:val="1278609816"/>
            <w14:checkbox>
              <w14:checked w14:val="0"/>
              <w14:checkedState w14:val="2612" w14:font="MS Gothic"/>
              <w14:uncheckedState w14:val="2610" w14:font="MS Gothic"/>
            </w14:checkbox>
          </w:sdtPr>
          <w:sdtContent>
            <w:tc>
              <w:tcPr>
                <w:tcW w:w="425" w:type="dxa"/>
                <w:vAlign w:val="center"/>
              </w:tcPr>
              <w:p w:rsidR="00055D7B" w:rsidRDefault="00055D7B" w:rsidP="00055D7B">
                <w:pPr>
                  <w:jc w:val="center"/>
                </w:pPr>
                <w:r>
                  <w:rPr>
                    <w:rFonts w:ascii="MS Gothic" w:eastAsia="MS Gothic" w:hAnsi="MS Gothic" w:hint="eastAsia"/>
                  </w:rPr>
                  <w:t>☐</w:t>
                </w:r>
              </w:p>
            </w:tc>
          </w:sdtContent>
        </w:sdt>
        <w:sdt>
          <w:sdtPr>
            <w:id w:val="1467244409"/>
            <w14:checkbox>
              <w14:checked w14:val="0"/>
              <w14:checkedState w14:val="2612" w14:font="MS Gothic"/>
              <w14:uncheckedState w14:val="2610" w14:font="MS Gothic"/>
            </w14:checkbox>
          </w:sdtPr>
          <w:sdtContent>
            <w:tc>
              <w:tcPr>
                <w:tcW w:w="567" w:type="dxa"/>
                <w:vAlign w:val="center"/>
              </w:tcPr>
              <w:p w:rsidR="00055D7B" w:rsidRDefault="00055D7B" w:rsidP="00055D7B">
                <w:pPr>
                  <w:jc w:val="center"/>
                </w:pPr>
                <w:r>
                  <w:rPr>
                    <w:rFonts w:ascii="MS Gothic" w:eastAsia="MS Gothic" w:hAnsi="MS Gothic" w:hint="eastAsia"/>
                  </w:rPr>
                  <w:t>☐</w:t>
                </w:r>
              </w:p>
            </w:tc>
          </w:sdtContent>
        </w:sdt>
        <w:tc>
          <w:tcPr>
            <w:tcW w:w="2693" w:type="dxa"/>
            <w:vAlign w:val="center"/>
          </w:tcPr>
          <w:p w:rsidR="00055D7B" w:rsidRDefault="00055D7B" w:rsidP="00055D7B"/>
        </w:tc>
        <w:tc>
          <w:tcPr>
            <w:tcW w:w="2268" w:type="dxa"/>
          </w:tcPr>
          <w:p w:rsidR="00055D7B" w:rsidRDefault="00055D7B" w:rsidP="00055D7B"/>
        </w:tc>
      </w:tr>
      <w:tr w:rsidR="00055D7B" w:rsidTr="006925C1">
        <w:tc>
          <w:tcPr>
            <w:tcW w:w="2155" w:type="dxa"/>
            <w:vMerge/>
            <w:vAlign w:val="center"/>
          </w:tcPr>
          <w:p w:rsidR="00055D7B" w:rsidRDefault="00055D7B" w:rsidP="00055D7B"/>
        </w:tc>
        <w:tc>
          <w:tcPr>
            <w:tcW w:w="6804" w:type="dxa"/>
          </w:tcPr>
          <w:p w:rsidR="00055D7B" w:rsidRPr="00C73FAF" w:rsidRDefault="00055D7B" w:rsidP="00055D7B">
            <w:pPr>
              <w:jc w:val="both"/>
            </w:pPr>
            <w:r>
              <w:t xml:space="preserve">Labor- und Schreibplätze sind im Labor deutlich zu trennen, z.B. mittels Plexiglas. </w:t>
            </w:r>
          </w:p>
        </w:tc>
        <w:sdt>
          <w:sdtPr>
            <w:id w:val="1866864575"/>
            <w14:checkbox>
              <w14:checked w14:val="0"/>
              <w14:checkedState w14:val="2612" w14:font="MS Gothic"/>
              <w14:uncheckedState w14:val="2610" w14:font="MS Gothic"/>
            </w14:checkbox>
          </w:sdtPr>
          <w:sdtContent>
            <w:tc>
              <w:tcPr>
                <w:tcW w:w="426" w:type="dxa"/>
                <w:vAlign w:val="center"/>
              </w:tcPr>
              <w:p w:rsidR="00055D7B" w:rsidRDefault="00055D7B" w:rsidP="00055D7B">
                <w:pPr>
                  <w:jc w:val="center"/>
                </w:pPr>
                <w:r>
                  <w:rPr>
                    <w:rFonts w:ascii="MS Gothic" w:eastAsia="MS Gothic" w:hAnsi="MS Gothic" w:hint="eastAsia"/>
                  </w:rPr>
                  <w:t>☐</w:t>
                </w:r>
              </w:p>
            </w:tc>
          </w:sdtContent>
        </w:sdt>
        <w:sdt>
          <w:sdtPr>
            <w:id w:val="-72122973"/>
            <w14:checkbox>
              <w14:checked w14:val="0"/>
              <w14:checkedState w14:val="2612" w14:font="MS Gothic"/>
              <w14:uncheckedState w14:val="2610" w14:font="MS Gothic"/>
            </w14:checkbox>
          </w:sdtPr>
          <w:sdtContent>
            <w:tc>
              <w:tcPr>
                <w:tcW w:w="425" w:type="dxa"/>
                <w:vAlign w:val="center"/>
              </w:tcPr>
              <w:p w:rsidR="00055D7B" w:rsidRDefault="00055D7B" w:rsidP="00055D7B">
                <w:pPr>
                  <w:jc w:val="center"/>
                </w:pPr>
                <w:r>
                  <w:rPr>
                    <w:rFonts w:ascii="MS Gothic" w:eastAsia="MS Gothic" w:hAnsi="MS Gothic" w:hint="eastAsia"/>
                  </w:rPr>
                  <w:t>☐</w:t>
                </w:r>
              </w:p>
            </w:tc>
          </w:sdtContent>
        </w:sdt>
        <w:sdt>
          <w:sdtPr>
            <w:id w:val="1127969712"/>
            <w14:checkbox>
              <w14:checked w14:val="0"/>
              <w14:checkedState w14:val="2612" w14:font="MS Gothic"/>
              <w14:uncheckedState w14:val="2610" w14:font="MS Gothic"/>
            </w14:checkbox>
          </w:sdtPr>
          <w:sdtContent>
            <w:tc>
              <w:tcPr>
                <w:tcW w:w="567" w:type="dxa"/>
                <w:vAlign w:val="center"/>
              </w:tcPr>
              <w:p w:rsidR="00055D7B" w:rsidRDefault="00055D7B" w:rsidP="00055D7B">
                <w:pPr>
                  <w:jc w:val="center"/>
                </w:pPr>
                <w:r>
                  <w:rPr>
                    <w:rFonts w:ascii="MS Gothic" w:eastAsia="MS Gothic" w:hAnsi="MS Gothic" w:hint="eastAsia"/>
                  </w:rPr>
                  <w:t>☐</w:t>
                </w:r>
              </w:p>
            </w:tc>
          </w:sdtContent>
        </w:sdt>
        <w:tc>
          <w:tcPr>
            <w:tcW w:w="2693" w:type="dxa"/>
            <w:vAlign w:val="center"/>
          </w:tcPr>
          <w:p w:rsidR="00055D7B" w:rsidRDefault="00055D7B" w:rsidP="00055D7B"/>
        </w:tc>
        <w:tc>
          <w:tcPr>
            <w:tcW w:w="2268" w:type="dxa"/>
          </w:tcPr>
          <w:p w:rsidR="00055D7B" w:rsidRDefault="00055D7B" w:rsidP="00055D7B"/>
        </w:tc>
      </w:tr>
      <w:tr w:rsidR="00055D7B" w:rsidTr="006925C1">
        <w:tc>
          <w:tcPr>
            <w:tcW w:w="2155" w:type="dxa"/>
            <w:vAlign w:val="center"/>
          </w:tcPr>
          <w:p w:rsidR="00055D7B" w:rsidRDefault="00055D7B" w:rsidP="00055D7B">
            <w:r>
              <w:t>Nahrungs-, Genussmittel</w:t>
            </w:r>
          </w:p>
        </w:tc>
        <w:tc>
          <w:tcPr>
            <w:tcW w:w="6804" w:type="dxa"/>
          </w:tcPr>
          <w:p w:rsidR="00055D7B" w:rsidRPr="00C73FAF" w:rsidRDefault="00055D7B" w:rsidP="00055D7B">
            <w:pPr>
              <w:jc w:val="both"/>
            </w:pPr>
            <w:r>
              <w:t>Keine Aufbewahrung und Nutzung von Nahrungs-, Genussmittel und Kosmetika</w:t>
            </w:r>
            <w:r w:rsidRPr="00A86D1B">
              <w:t xml:space="preserve">. </w:t>
            </w:r>
            <w:r>
              <w:t xml:space="preserve"> </w:t>
            </w:r>
            <w:r w:rsidRPr="00A86D1B">
              <w:t xml:space="preserve">Für die Beschäftigten sind </w:t>
            </w:r>
            <w:r>
              <w:t>Aufenthaltsbereiche einzurichten.</w:t>
            </w:r>
          </w:p>
        </w:tc>
        <w:sdt>
          <w:sdtPr>
            <w:id w:val="1053808917"/>
            <w14:checkbox>
              <w14:checked w14:val="0"/>
              <w14:checkedState w14:val="2612" w14:font="MS Gothic"/>
              <w14:uncheckedState w14:val="2610" w14:font="MS Gothic"/>
            </w14:checkbox>
          </w:sdtPr>
          <w:sdtContent>
            <w:tc>
              <w:tcPr>
                <w:tcW w:w="426" w:type="dxa"/>
                <w:vAlign w:val="center"/>
              </w:tcPr>
              <w:p w:rsidR="00055D7B" w:rsidRDefault="00055D7B" w:rsidP="00055D7B">
                <w:pPr>
                  <w:jc w:val="center"/>
                </w:pPr>
                <w:r>
                  <w:rPr>
                    <w:rFonts w:ascii="MS Gothic" w:eastAsia="MS Gothic" w:hAnsi="MS Gothic" w:hint="eastAsia"/>
                  </w:rPr>
                  <w:t>☐</w:t>
                </w:r>
              </w:p>
            </w:tc>
          </w:sdtContent>
        </w:sdt>
        <w:sdt>
          <w:sdtPr>
            <w:id w:val="1883901737"/>
            <w14:checkbox>
              <w14:checked w14:val="0"/>
              <w14:checkedState w14:val="2612" w14:font="MS Gothic"/>
              <w14:uncheckedState w14:val="2610" w14:font="MS Gothic"/>
            </w14:checkbox>
          </w:sdtPr>
          <w:sdtContent>
            <w:tc>
              <w:tcPr>
                <w:tcW w:w="425" w:type="dxa"/>
                <w:vAlign w:val="center"/>
              </w:tcPr>
              <w:p w:rsidR="00055D7B" w:rsidRDefault="00055D7B" w:rsidP="00055D7B">
                <w:pPr>
                  <w:jc w:val="center"/>
                </w:pPr>
                <w:r>
                  <w:rPr>
                    <w:rFonts w:ascii="MS Gothic" w:eastAsia="MS Gothic" w:hAnsi="MS Gothic" w:hint="eastAsia"/>
                  </w:rPr>
                  <w:t>☐</w:t>
                </w:r>
              </w:p>
            </w:tc>
          </w:sdtContent>
        </w:sdt>
        <w:sdt>
          <w:sdtPr>
            <w:id w:val="-708260878"/>
            <w14:checkbox>
              <w14:checked w14:val="0"/>
              <w14:checkedState w14:val="2612" w14:font="MS Gothic"/>
              <w14:uncheckedState w14:val="2610" w14:font="MS Gothic"/>
            </w14:checkbox>
          </w:sdtPr>
          <w:sdtContent>
            <w:tc>
              <w:tcPr>
                <w:tcW w:w="567" w:type="dxa"/>
                <w:vAlign w:val="center"/>
              </w:tcPr>
              <w:p w:rsidR="00055D7B" w:rsidRDefault="00055D7B" w:rsidP="00055D7B">
                <w:pPr>
                  <w:jc w:val="center"/>
                </w:pPr>
                <w:r>
                  <w:rPr>
                    <w:rFonts w:ascii="MS Gothic" w:eastAsia="MS Gothic" w:hAnsi="MS Gothic" w:hint="eastAsia"/>
                  </w:rPr>
                  <w:t>☐</w:t>
                </w:r>
              </w:p>
            </w:tc>
          </w:sdtContent>
        </w:sdt>
        <w:tc>
          <w:tcPr>
            <w:tcW w:w="2693" w:type="dxa"/>
            <w:vAlign w:val="center"/>
          </w:tcPr>
          <w:p w:rsidR="00055D7B" w:rsidRDefault="00055D7B" w:rsidP="00055D7B"/>
        </w:tc>
        <w:tc>
          <w:tcPr>
            <w:tcW w:w="2268" w:type="dxa"/>
          </w:tcPr>
          <w:p w:rsidR="00055D7B" w:rsidRDefault="00055D7B" w:rsidP="00055D7B"/>
        </w:tc>
      </w:tr>
      <w:tr w:rsidR="00055D7B" w:rsidTr="006925C1">
        <w:tc>
          <w:tcPr>
            <w:tcW w:w="2155" w:type="dxa"/>
            <w:vAlign w:val="center"/>
          </w:tcPr>
          <w:p w:rsidR="00055D7B" w:rsidRDefault="00055D7B" w:rsidP="00055D7B">
            <w:r>
              <w:t>Stellplatz Geräte</w:t>
            </w:r>
          </w:p>
        </w:tc>
        <w:tc>
          <w:tcPr>
            <w:tcW w:w="6804" w:type="dxa"/>
          </w:tcPr>
          <w:p w:rsidR="00055D7B" w:rsidRPr="00EB7620" w:rsidRDefault="00055D7B" w:rsidP="00055D7B">
            <w:pPr>
              <w:jc w:val="both"/>
            </w:pPr>
            <w:r>
              <w:t>Aufstellung von Geräten nur in Räumen, die ebenfalls den baulichen Anforderungen entsprechen. Keine Aufstellung in Fluren, Treppenhäusern usw.</w:t>
            </w:r>
          </w:p>
        </w:tc>
        <w:sdt>
          <w:sdtPr>
            <w:id w:val="-1787728706"/>
            <w14:checkbox>
              <w14:checked w14:val="0"/>
              <w14:checkedState w14:val="2612" w14:font="MS Gothic"/>
              <w14:uncheckedState w14:val="2610" w14:font="MS Gothic"/>
            </w14:checkbox>
          </w:sdtPr>
          <w:sdtContent>
            <w:tc>
              <w:tcPr>
                <w:tcW w:w="426" w:type="dxa"/>
                <w:vAlign w:val="center"/>
              </w:tcPr>
              <w:p w:rsidR="00055D7B" w:rsidRDefault="00055D7B" w:rsidP="00055D7B">
                <w:pPr>
                  <w:jc w:val="center"/>
                </w:pPr>
                <w:r>
                  <w:rPr>
                    <w:rFonts w:ascii="MS Gothic" w:eastAsia="MS Gothic" w:hAnsi="MS Gothic" w:hint="eastAsia"/>
                  </w:rPr>
                  <w:t>☐</w:t>
                </w:r>
              </w:p>
            </w:tc>
          </w:sdtContent>
        </w:sdt>
        <w:sdt>
          <w:sdtPr>
            <w:id w:val="1992129638"/>
            <w14:checkbox>
              <w14:checked w14:val="0"/>
              <w14:checkedState w14:val="2612" w14:font="MS Gothic"/>
              <w14:uncheckedState w14:val="2610" w14:font="MS Gothic"/>
            </w14:checkbox>
          </w:sdtPr>
          <w:sdtContent>
            <w:tc>
              <w:tcPr>
                <w:tcW w:w="425" w:type="dxa"/>
                <w:vAlign w:val="center"/>
              </w:tcPr>
              <w:p w:rsidR="00055D7B" w:rsidRDefault="00055D7B" w:rsidP="00055D7B">
                <w:pPr>
                  <w:jc w:val="center"/>
                </w:pPr>
                <w:r>
                  <w:rPr>
                    <w:rFonts w:ascii="MS Gothic" w:eastAsia="MS Gothic" w:hAnsi="MS Gothic" w:hint="eastAsia"/>
                  </w:rPr>
                  <w:t>☐</w:t>
                </w:r>
              </w:p>
            </w:tc>
          </w:sdtContent>
        </w:sdt>
        <w:sdt>
          <w:sdtPr>
            <w:id w:val="-1445305027"/>
            <w14:checkbox>
              <w14:checked w14:val="0"/>
              <w14:checkedState w14:val="2612" w14:font="MS Gothic"/>
              <w14:uncheckedState w14:val="2610" w14:font="MS Gothic"/>
            </w14:checkbox>
          </w:sdtPr>
          <w:sdtContent>
            <w:tc>
              <w:tcPr>
                <w:tcW w:w="567" w:type="dxa"/>
                <w:vAlign w:val="center"/>
              </w:tcPr>
              <w:p w:rsidR="00055D7B" w:rsidRDefault="00055D7B" w:rsidP="00055D7B">
                <w:pPr>
                  <w:jc w:val="center"/>
                </w:pPr>
                <w:r>
                  <w:rPr>
                    <w:rFonts w:ascii="MS Gothic" w:eastAsia="MS Gothic" w:hAnsi="MS Gothic" w:hint="eastAsia"/>
                  </w:rPr>
                  <w:t>☐</w:t>
                </w:r>
              </w:p>
            </w:tc>
          </w:sdtContent>
        </w:sdt>
        <w:tc>
          <w:tcPr>
            <w:tcW w:w="2693" w:type="dxa"/>
            <w:vAlign w:val="center"/>
          </w:tcPr>
          <w:p w:rsidR="00055D7B" w:rsidRDefault="00055D7B" w:rsidP="00055D7B"/>
        </w:tc>
        <w:tc>
          <w:tcPr>
            <w:tcW w:w="2268" w:type="dxa"/>
          </w:tcPr>
          <w:p w:rsidR="00055D7B" w:rsidRDefault="00055D7B" w:rsidP="00055D7B"/>
        </w:tc>
      </w:tr>
      <w:tr w:rsidR="00055D7B" w:rsidTr="006925C1">
        <w:tc>
          <w:tcPr>
            <w:tcW w:w="2155" w:type="dxa"/>
            <w:vAlign w:val="center"/>
          </w:tcPr>
          <w:p w:rsidR="00055D7B" w:rsidRDefault="00055D7B" w:rsidP="00055D7B">
            <w:r>
              <w:t>Lagerung  von GVOs</w:t>
            </w:r>
          </w:p>
        </w:tc>
        <w:tc>
          <w:tcPr>
            <w:tcW w:w="6804" w:type="dxa"/>
          </w:tcPr>
          <w:p w:rsidR="00055D7B" w:rsidRPr="00EB7620" w:rsidRDefault="00055D7B" w:rsidP="00055D7B">
            <w:pPr>
              <w:jc w:val="both"/>
            </w:pPr>
            <w:r w:rsidRPr="0080649C">
              <w:rPr>
                <w:color w:val="000000" w:themeColor="text1"/>
              </w:rPr>
              <w:t>Als Lagerung gilt die Aufbewahrung von mehr als drei Tagen. Die Lagerun</w:t>
            </w:r>
            <w:r>
              <w:rPr>
                <w:color w:val="000000" w:themeColor="text1"/>
              </w:rPr>
              <w:t xml:space="preserve">g gilt als gentechnische Arbeit. </w:t>
            </w:r>
          </w:p>
        </w:tc>
        <w:sdt>
          <w:sdtPr>
            <w:id w:val="265122693"/>
            <w14:checkbox>
              <w14:checked w14:val="0"/>
              <w14:checkedState w14:val="2612" w14:font="MS Gothic"/>
              <w14:uncheckedState w14:val="2610" w14:font="MS Gothic"/>
            </w14:checkbox>
          </w:sdtPr>
          <w:sdtContent>
            <w:tc>
              <w:tcPr>
                <w:tcW w:w="426" w:type="dxa"/>
                <w:vAlign w:val="center"/>
              </w:tcPr>
              <w:p w:rsidR="00055D7B" w:rsidRDefault="00055D7B" w:rsidP="00055D7B">
                <w:pPr>
                  <w:jc w:val="center"/>
                </w:pPr>
                <w:r>
                  <w:rPr>
                    <w:rFonts w:ascii="MS Gothic" w:eastAsia="MS Gothic" w:hAnsi="MS Gothic" w:hint="eastAsia"/>
                  </w:rPr>
                  <w:t>☐</w:t>
                </w:r>
              </w:p>
            </w:tc>
          </w:sdtContent>
        </w:sdt>
        <w:sdt>
          <w:sdtPr>
            <w:id w:val="486593770"/>
            <w14:checkbox>
              <w14:checked w14:val="0"/>
              <w14:checkedState w14:val="2612" w14:font="MS Gothic"/>
              <w14:uncheckedState w14:val="2610" w14:font="MS Gothic"/>
            </w14:checkbox>
          </w:sdtPr>
          <w:sdtContent>
            <w:tc>
              <w:tcPr>
                <w:tcW w:w="425" w:type="dxa"/>
                <w:vAlign w:val="center"/>
              </w:tcPr>
              <w:p w:rsidR="00055D7B" w:rsidRDefault="00055D7B" w:rsidP="00055D7B">
                <w:pPr>
                  <w:jc w:val="center"/>
                </w:pPr>
                <w:r>
                  <w:rPr>
                    <w:rFonts w:ascii="MS Gothic" w:eastAsia="MS Gothic" w:hAnsi="MS Gothic" w:hint="eastAsia"/>
                  </w:rPr>
                  <w:t>☐</w:t>
                </w:r>
              </w:p>
            </w:tc>
          </w:sdtContent>
        </w:sdt>
        <w:sdt>
          <w:sdtPr>
            <w:id w:val="-2069795261"/>
            <w14:checkbox>
              <w14:checked w14:val="0"/>
              <w14:checkedState w14:val="2612" w14:font="MS Gothic"/>
              <w14:uncheckedState w14:val="2610" w14:font="MS Gothic"/>
            </w14:checkbox>
          </w:sdtPr>
          <w:sdtContent>
            <w:tc>
              <w:tcPr>
                <w:tcW w:w="567" w:type="dxa"/>
                <w:vAlign w:val="center"/>
              </w:tcPr>
              <w:p w:rsidR="00055D7B" w:rsidRDefault="00055D7B" w:rsidP="00055D7B">
                <w:pPr>
                  <w:jc w:val="center"/>
                </w:pPr>
                <w:r>
                  <w:rPr>
                    <w:rFonts w:ascii="MS Gothic" w:eastAsia="MS Gothic" w:hAnsi="MS Gothic" w:hint="eastAsia"/>
                  </w:rPr>
                  <w:t>☐</w:t>
                </w:r>
              </w:p>
            </w:tc>
          </w:sdtContent>
        </w:sdt>
        <w:tc>
          <w:tcPr>
            <w:tcW w:w="2693" w:type="dxa"/>
            <w:vAlign w:val="center"/>
          </w:tcPr>
          <w:p w:rsidR="00055D7B" w:rsidRDefault="00055D7B" w:rsidP="00055D7B"/>
        </w:tc>
        <w:tc>
          <w:tcPr>
            <w:tcW w:w="2268" w:type="dxa"/>
          </w:tcPr>
          <w:p w:rsidR="00055D7B" w:rsidRDefault="00055D7B" w:rsidP="00055D7B"/>
        </w:tc>
      </w:tr>
      <w:tr w:rsidR="00055D7B" w:rsidTr="006925C1">
        <w:tc>
          <w:tcPr>
            <w:tcW w:w="2155" w:type="dxa"/>
            <w:vAlign w:val="center"/>
          </w:tcPr>
          <w:p w:rsidR="00055D7B" w:rsidRDefault="00055D7B" w:rsidP="00055D7B">
            <w:r>
              <w:t>Transport von GVOs  (intern)</w:t>
            </w:r>
          </w:p>
        </w:tc>
        <w:tc>
          <w:tcPr>
            <w:tcW w:w="6804" w:type="dxa"/>
          </w:tcPr>
          <w:p w:rsidR="00055D7B" w:rsidRPr="00EB7620" w:rsidRDefault="00055D7B" w:rsidP="00055D7B">
            <w:pPr>
              <w:jc w:val="both"/>
            </w:pPr>
            <w:r>
              <w:t>Es sind bruchsichere, dicht geschlossene und desinfizierbare Transportbehälter zu verwenden, die mit „S1“ gekennzeichnet sind.</w:t>
            </w:r>
          </w:p>
        </w:tc>
        <w:sdt>
          <w:sdtPr>
            <w:id w:val="490220933"/>
            <w14:checkbox>
              <w14:checked w14:val="0"/>
              <w14:checkedState w14:val="2612" w14:font="MS Gothic"/>
              <w14:uncheckedState w14:val="2610" w14:font="MS Gothic"/>
            </w14:checkbox>
          </w:sdtPr>
          <w:sdtContent>
            <w:tc>
              <w:tcPr>
                <w:tcW w:w="426" w:type="dxa"/>
                <w:vAlign w:val="center"/>
              </w:tcPr>
              <w:p w:rsidR="00055D7B" w:rsidRDefault="00055D7B" w:rsidP="00055D7B">
                <w:pPr>
                  <w:jc w:val="center"/>
                </w:pPr>
                <w:r>
                  <w:rPr>
                    <w:rFonts w:ascii="MS Gothic" w:eastAsia="MS Gothic" w:hAnsi="MS Gothic" w:hint="eastAsia"/>
                  </w:rPr>
                  <w:t>☐</w:t>
                </w:r>
              </w:p>
            </w:tc>
          </w:sdtContent>
        </w:sdt>
        <w:sdt>
          <w:sdtPr>
            <w:id w:val="1453823756"/>
            <w14:checkbox>
              <w14:checked w14:val="0"/>
              <w14:checkedState w14:val="2612" w14:font="MS Gothic"/>
              <w14:uncheckedState w14:val="2610" w14:font="MS Gothic"/>
            </w14:checkbox>
          </w:sdtPr>
          <w:sdtContent>
            <w:tc>
              <w:tcPr>
                <w:tcW w:w="425" w:type="dxa"/>
                <w:vAlign w:val="center"/>
              </w:tcPr>
              <w:p w:rsidR="00055D7B" w:rsidRDefault="00055D7B" w:rsidP="00055D7B">
                <w:pPr>
                  <w:jc w:val="center"/>
                </w:pPr>
                <w:r>
                  <w:rPr>
                    <w:rFonts w:ascii="MS Gothic" w:eastAsia="MS Gothic" w:hAnsi="MS Gothic" w:hint="eastAsia"/>
                  </w:rPr>
                  <w:t>☐</w:t>
                </w:r>
              </w:p>
            </w:tc>
          </w:sdtContent>
        </w:sdt>
        <w:sdt>
          <w:sdtPr>
            <w:id w:val="319006382"/>
            <w14:checkbox>
              <w14:checked w14:val="0"/>
              <w14:checkedState w14:val="2612" w14:font="MS Gothic"/>
              <w14:uncheckedState w14:val="2610" w14:font="MS Gothic"/>
            </w14:checkbox>
          </w:sdtPr>
          <w:sdtContent>
            <w:tc>
              <w:tcPr>
                <w:tcW w:w="567" w:type="dxa"/>
                <w:vAlign w:val="center"/>
              </w:tcPr>
              <w:p w:rsidR="00055D7B" w:rsidRDefault="00055D7B" w:rsidP="00055D7B">
                <w:pPr>
                  <w:jc w:val="center"/>
                </w:pPr>
                <w:r>
                  <w:rPr>
                    <w:rFonts w:ascii="MS Gothic" w:eastAsia="MS Gothic" w:hAnsi="MS Gothic" w:hint="eastAsia"/>
                  </w:rPr>
                  <w:t>☐</w:t>
                </w:r>
              </w:p>
            </w:tc>
          </w:sdtContent>
        </w:sdt>
        <w:tc>
          <w:tcPr>
            <w:tcW w:w="2693" w:type="dxa"/>
            <w:vAlign w:val="center"/>
          </w:tcPr>
          <w:p w:rsidR="00055D7B" w:rsidRDefault="00055D7B" w:rsidP="00055D7B"/>
        </w:tc>
        <w:tc>
          <w:tcPr>
            <w:tcW w:w="2268" w:type="dxa"/>
          </w:tcPr>
          <w:p w:rsidR="00055D7B" w:rsidRDefault="00055D7B" w:rsidP="00055D7B"/>
        </w:tc>
      </w:tr>
      <w:tr w:rsidR="00055D7B" w:rsidTr="00E90A29">
        <w:trPr>
          <w:trHeight w:val="783"/>
        </w:trPr>
        <w:tc>
          <w:tcPr>
            <w:tcW w:w="2155" w:type="dxa"/>
            <w:vMerge w:val="restart"/>
            <w:vAlign w:val="center"/>
          </w:tcPr>
          <w:p w:rsidR="00055D7B" w:rsidRDefault="00055D7B" w:rsidP="00055D7B">
            <w:r>
              <w:t>Transport von GVOs (extern)</w:t>
            </w:r>
          </w:p>
        </w:tc>
        <w:tc>
          <w:tcPr>
            <w:tcW w:w="6804" w:type="dxa"/>
          </w:tcPr>
          <w:p w:rsidR="00055D7B" w:rsidRDefault="00055D7B" w:rsidP="00055D7B">
            <w:pPr>
              <w:pStyle w:val="Listenabsatz"/>
              <w:numPr>
                <w:ilvl w:val="0"/>
                <w:numId w:val="39"/>
              </w:numPr>
              <w:jc w:val="both"/>
            </w:pPr>
            <w:r>
              <w:t>GVO, die weder ansteckungsgefährlich (Gefahrgutklasse 6.2) noch umweltgefährdend (Gefahrgutklasse 9) sind, z. B. Mikroorganismen der Risikogruppe 1, die als biologische Sicherheitsmaßnahme anerkannt sind.</w:t>
            </w:r>
          </w:p>
        </w:tc>
        <w:tc>
          <w:tcPr>
            <w:tcW w:w="426" w:type="dxa"/>
            <w:vAlign w:val="center"/>
          </w:tcPr>
          <w:sdt>
            <w:sdtPr>
              <w:id w:val="114407524"/>
              <w14:checkbox>
                <w14:checked w14:val="0"/>
                <w14:checkedState w14:val="2612" w14:font="MS Gothic"/>
                <w14:uncheckedState w14:val="2610" w14:font="MS Gothic"/>
              </w14:checkbox>
            </w:sdtPr>
            <w:sdtContent>
              <w:p w:rsidR="00055D7B" w:rsidRDefault="00055D7B" w:rsidP="00055D7B">
                <w:pPr>
                  <w:jc w:val="center"/>
                </w:pPr>
                <w:r>
                  <w:rPr>
                    <w:rFonts w:ascii="MS Gothic" w:eastAsia="MS Gothic" w:hAnsi="MS Gothic" w:hint="eastAsia"/>
                  </w:rPr>
                  <w:t>☐</w:t>
                </w:r>
              </w:p>
            </w:sdtContent>
          </w:sdt>
        </w:tc>
        <w:tc>
          <w:tcPr>
            <w:tcW w:w="425" w:type="dxa"/>
            <w:vAlign w:val="center"/>
          </w:tcPr>
          <w:sdt>
            <w:sdtPr>
              <w:id w:val="1189957525"/>
              <w14:checkbox>
                <w14:checked w14:val="0"/>
                <w14:checkedState w14:val="2612" w14:font="MS Gothic"/>
                <w14:uncheckedState w14:val="2610" w14:font="MS Gothic"/>
              </w14:checkbox>
            </w:sdtPr>
            <w:sdtContent>
              <w:p w:rsidR="00055D7B" w:rsidRDefault="00055D7B" w:rsidP="00055D7B">
                <w:pPr>
                  <w:jc w:val="center"/>
                </w:pPr>
                <w:r>
                  <w:rPr>
                    <w:rFonts w:ascii="MS Gothic" w:eastAsia="MS Gothic" w:hAnsi="MS Gothic" w:hint="eastAsia"/>
                  </w:rPr>
                  <w:t>☐</w:t>
                </w:r>
              </w:p>
            </w:sdtContent>
          </w:sdt>
        </w:tc>
        <w:tc>
          <w:tcPr>
            <w:tcW w:w="567" w:type="dxa"/>
            <w:vAlign w:val="center"/>
          </w:tcPr>
          <w:sdt>
            <w:sdtPr>
              <w:id w:val="1647863638"/>
              <w14:checkbox>
                <w14:checked w14:val="0"/>
                <w14:checkedState w14:val="2612" w14:font="MS Gothic"/>
                <w14:uncheckedState w14:val="2610" w14:font="MS Gothic"/>
              </w14:checkbox>
            </w:sdtPr>
            <w:sdtContent>
              <w:p w:rsidR="00055D7B" w:rsidRDefault="00055D7B" w:rsidP="00055D7B">
                <w:pPr>
                  <w:jc w:val="center"/>
                </w:pPr>
                <w:r>
                  <w:rPr>
                    <w:rFonts w:ascii="MS Gothic" w:eastAsia="MS Gothic" w:hAnsi="MS Gothic" w:hint="eastAsia"/>
                  </w:rPr>
                  <w:t>☐</w:t>
                </w:r>
              </w:p>
            </w:sdtContent>
          </w:sdt>
        </w:tc>
        <w:tc>
          <w:tcPr>
            <w:tcW w:w="2693" w:type="dxa"/>
            <w:vMerge w:val="restart"/>
            <w:vAlign w:val="center"/>
          </w:tcPr>
          <w:p w:rsidR="00055D7B" w:rsidRDefault="00055D7B" w:rsidP="00055D7B"/>
        </w:tc>
        <w:tc>
          <w:tcPr>
            <w:tcW w:w="2268" w:type="dxa"/>
            <w:vMerge w:val="restart"/>
          </w:tcPr>
          <w:p w:rsidR="00055D7B" w:rsidRDefault="00055D7B" w:rsidP="00055D7B"/>
        </w:tc>
      </w:tr>
      <w:tr w:rsidR="00055D7B" w:rsidTr="006925C1">
        <w:trPr>
          <w:trHeight w:val="782"/>
        </w:trPr>
        <w:tc>
          <w:tcPr>
            <w:tcW w:w="2155" w:type="dxa"/>
            <w:vMerge/>
            <w:vAlign w:val="center"/>
          </w:tcPr>
          <w:p w:rsidR="00055D7B" w:rsidRDefault="00055D7B" w:rsidP="00055D7B">
            <w:pPr>
              <w:ind w:left="360"/>
            </w:pPr>
          </w:p>
        </w:tc>
        <w:tc>
          <w:tcPr>
            <w:tcW w:w="6804" w:type="dxa"/>
          </w:tcPr>
          <w:p w:rsidR="00055D7B" w:rsidRDefault="00055D7B" w:rsidP="00055D7B">
            <w:pPr>
              <w:pStyle w:val="Listenabsatz"/>
              <w:numPr>
                <w:ilvl w:val="0"/>
                <w:numId w:val="39"/>
              </w:numPr>
              <w:jc w:val="both"/>
            </w:pPr>
            <w:r>
              <w:t>Alle anderen GVO der Risikogruppe 1 sind der Klasse 9 (UN-Nummer 3245) zuzuordnen und dementsprechend zu verpacken und versenden.</w:t>
            </w:r>
          </w:p>
        </w:tc>
        <w:sdt>
          <w:sdtPr>
            <w:id w:val="104937557"/>
            <w14:checkbox>
              <w14:checked w14:val="0"/>
              <w14:checkedState w14:val="2612" w14:font="MS Gothic"/>
              <w14:uncheckedState w14:val="2610" w14:font="MS Gothic"/>
            </w14:checkbox>
          </w:sdtPr>
          <w:sdtContent>
            <w:tc>
              <w:tcPr>
                <w:tcW w:w="426" w:type="dxa"/>
                <w:vAlign w:val="center"/>
              </w:tcPr>
              <w:p w:rsidR="00055D7B" w:rsidRDefault="00055D7B" w:rsidP="00055D7B">
                <w:pPr>
                  <w:jc w:val="center"/>
                </w:pPr>
                <w:r>
                  <w:rPr>
                    <w:rFonts w:ascii="MS Gothic" w:eastAsia="MS Gothic" w:hAnsi="MS Gothic" w:hint="eastAsia"/>
                  </w:rPr>
                  <w:t>☐</w:t>
                </w:r>
              </w:p>
            </w:tc>
          </w:sdtContent>
        </w:sdt>
        <w:sdt>
          <w:sdtPr>
            <w:id w:val="1456753050"/>
            <w14:checkbox>
              <w14:checked w14:val="0"/>
              <w14:checkedState w14:val="2612" w14:font="MS Gothic"/>
              <w14:uncheckedState w14:val="2610" w14:font="MS Gothic"/>
            </w14:checkbox>
          </w:sdtPr>
          <w:sdtContent>
            <w:tc>
              <w:tcPr>
                <w:tcW w:w="425" w:type="dxa"/>
                <w:vAlign w:val="center"/>
              </w:tcPr>
              <w:p w:rsidR="00055D7B" w:rsidRDefault="00055D7B" w:rsidP="00055D7B">
                <w:pPr>
                  <w:jc w:val="center"/>
                </w:pPr>
                <w:r>
                  <w:rPr>
                    <w:rFonts w:ascii="MS Gothic" w:eastAsia="MS Gothic" w:hAnsi="MS Gothic" w:hint="eastAsia"/>
                  </w:rPr>
                  <w:t>☐</w:t>
                </w:r>
              </w:p>
            </w:tc>
          </w:sdtContent>
        </w:sdt>
        <w:sdt>
          <w:sdtPr>
            <w:id w:val="-36205138"/>
            <w14:checkbox>
              <w14:checked w14:val="0"/>
              <w14:checkedState w14:val="2612" w14:font="MS Gothic"/>
              <w14:uncheckedState w14:val="2610" w14:font="MS Gothic"/>
            </w14:checkbox>
          </w:sdtPr>
          <w:sdtContent>
            <w:tc>
              <w:tcPr>
                <w:tcW w:w="567" w:type="dxa"/>
                <w:vAlign w:val="center"/>
              </w:tcPr>
              <w:p w:rsidR="00055D7B" w:rsidRDefault="00055D7B" w:rsidP="00055D7B">
                <w:pPr>
                  <w:jc w:val="center"/>
                </w:pPr>
                <w:r>
                  <w:rPr>
                    <w:rFonts w:ascii="MS Gothic" w:eastAsia="MS Gothic" w:hAnsi="MS Gothic" w:hint="eastAsia"/>
                  </w:rPr>
                  <w:t>☐</w:t>
                </w:r>
              </w:p>
            </w:tc>
          </w:sdtContent>
        </w:sdt>
        <w:tc>
          <w:tcPr>
            <w:tcW w:w="2693" w:type="dxa"/>
            <w:vMerge/>
            <w:vAlign w:val="center"/>
          </w:tcPr>
          <w:p w:rsidR="00055D7B" w:rsidRDefault="00055D7B" w:rsidP="00055D7B"/>
        </w:tc>
        <w:tc>
          <w:tcPr>
            <w:tcW w:w="2268" w:type="dxa"/>
            <w:vMerge/>
          </w:tcPr>
          <w:p w:rsidR="00055D7B" w:rsidRDefault="00055D7B" w:rsidP="00055D7B"/>
        </w:tc>
      </w:tr>
      <w:tr w:rsidR="00055D7B" w:rsidTr="0003098D">
        <w:trPr>
          <w:trHeight w:val="896"/>
        </w:trPr>
        <w:tc>
          <w:tcPr>
            <w:tcW w:w="2155" w:type="dxa"/>
            <w:vMerge w:val="restart"/>
            <w:vAlign w:val="center"/>
          </w:tcPr>
          <w:p w:rsidR="00055D7B" w:rsidRDefault="00055D7B" w:rsidP="00055D7B">
            <w:r>
              <w:t>Kontrolle von GVOs</w:t>
            </w:r>
          </w:p>
        </w:tc>
        <w:tc>
          <w:tcPr>
            <w:tcW w:w="6804" w:type="dxa"/>
          </w:tcPr>
          <w:p w:rsidR="00055D7B" w:rsidRDefault="00055D7B" w:rsidP="00055D7B">
            <w:pPr>
              <w:pStyle w:val="Listenabsatz"/>
              <w:numPr>
                <w:ilvl w:val="0"/>
                <w:numId w:val="32"/>
              </w:numPr>
              <w:ind w:left="313"/>
              <w:jc w:val="both"/>
            </w:pPr>
            <w:r>
              <w:t>Identität und Reinheit der benutzten Organismen sind regelmäßig zu überprüfen, wenn dies für die Beurteilung des Gefährdungspotenzials der Organismen notwendig ist. Die zeitlichen Abstände der Überprüfung richten sich nach dem möglichen Gefährdungspotenzial.</w:t>
            </w:r>
          </w:p>
        </w:tc>
        <w:tc>
          <w:tcPr>
            <w:tcW w:w="426" w:type="dxa"/>
            <w:vAlign w:val="center"/>
          </w:tcPr>
          <w:sdt>
            <w:sdtPr>
              <w:id w:val="1702049524"/>
              <w14:checkbox>
                <w14:checked w14:val="0"/>
                <w14:checkedState w14:val="2612" w14:font="MS Gothic"/>
                <w14:uncheckedState w14:val="2610" w14:font="MS Gothic"/>
              </w14:checkbox>
            </w:sdtPr>
            <w:sdtContent>
              <w:p w:rsidR="00055D7B" w:rsidRDefault="00055D7B" w:rsidP="00055D7B">
                <w:pPr>
                  <w:jc w:val="center"/>
                </w:pPr>
                <w:r>
                  <w:rPr>
                    <w:rFonts w:ascii="MS Gothic" w:eastAsia="MS Gothic" w:hAnsi="MS Gothic" w:hint="eastAsia"/>
                  </w:rPr>
                  <w:t>☐</w:t>
                </w:r>
              </w:p>
            </w:sdtContent>
          </w:sdt>
        </w:tc>
        <w:tc>
          <w:tcPr>
            <w:tcW w:w="425" w:type="dxa"/>
            <w:vAlign w:val="center"/>
          </w:tcPr>
          <w:sdt>
            <w:sdtPr>
              <w:id w:val="-1084448610"/>
              <w14:checkbox>
                <w14:checked w14:val="0"/>
                <w14:checkedState w14:val="2612" w14:font="MS Gothic"/>
                <w14:uncheckedState w14:val="2610" w14:font="MS Gothic"/>
              </w14:checkbox>
            </w:sdtPr>
            <w:sdtContent>
              <w:p w:rsidR="00055D7B" w:rsidRDefault="00055D7B" w:rsidP="00055D7B">
                <w:pPr>
                  <w:jc w:val="center"/>
                </w:pPr>
                <w:r>
                  <w:rPr>
                    <w:rFonts w:ascii="MS Gothic" w:eastAsia="MS Gothic" w:hAnsi="MS Gothic" w:hint="eastAsia"/>
                  </w:rPr>
                  <w:t>☐</w:t>
                </w:r>
              </w:p>
            </w:sdtContent>
          </w:sdt>
        </w:tc>
        <w:tc>
          <w:tcPr>
            <w:tcW w:w="567" w:type="dxa"/>
            <w:vAlign w:val="center"/>
          </w:tcPr>
          <w:sdt>
            <w:sdtPr>
              <w:id w:val="1042097315"/>
              <w14:checkbox>
                <w14:checked w14:val="0"/>
                <w14:checkedState w14:val="2612" w14:font="MS Gothic"/>
                <w14:uncheckedState w14:val="2610" w14:font="MS Gothic"/>
              </w14:checkbox>
            </w:sdtPr>
            <w:sdtContent>
              <w:p w:rsidR="00055D7B" w:rsidRDefault="00055D7B" w:rsidP="00055D7B">
                <w:pPr>
                  <w:jc w:val="center"/>
                </w:pPr>
                <w:r>
                  <w:rPr>
                    <w:rFonts w:ascii="MS Gothic" w:eastAsia="MS Gothic" w:hAnsi="MS Gothic" w:hint="eastAsia"/>
                  </w:rPr>
                  <w:t>☐</w:t>
                </w:r>
              </w:p>
            </w:sdtContent>
          </w:sdt>
        </w:tc>
        <w:tc>
          <w:tcPr>
            <w:tcW w:w="2693" w:type="dxa"/>
            <w:vMerge w:val="restart"/>
            <w:vAlign w:val="center"/>
          </w:tcPr>
          <w:p w:rsidR="00055D7B" w:rsidRDefault="00055D7B" w:rsidP="00055D7B"/>
        </w:tc>
        <w:tc>
          <w:tcPr>
            <w:tcW w:w="2268" w:type="dxa"/>
            <w:vMerge w:val="restart"/>
          </w:tcPr>
          <w:p w:rsidR="00055D7B" w:rsidRDefault="00055D7B" w:rsidP="00055D7B"/>
        </w:tc>
      </w:tr>
      <w:tr w:rsidR="00055D7B" w:rsidTr="006925C1">
        <w:trPr>
          <w:trHeight w:val="895"/>
        </w:trPr>
        <w:tc>
          <w:tcPr>
            <w:tcW w:w="2155" w:type="dxa"/>
            <w:vMerge/>
            <w:vAlign w:val="center"/>
          </w:tcPr>
          <w:p w:rsidR="00055D7B" w:rsidRDefault="00055D7B" w:rsidP="00055D7B"/>
        </w:tc>
        <w:tc>
          <w:tcPr>
            <w:tcW w:w="6804" w:type="dxa"/>
          </w:tcPr>
          <w:p w:rsidR="00055D7B" w:rsidRDefault="00055D7B" w:rsidP="00055D7B">
            <w:pPr>
              <w:pStyle w:val="Listenabsatz"/>
              <w:numPr>
                <w:ilvl w:val="0"/>
                <w:numId w:val="32"/>
              </w:numPr>
              <w:ind w:left="313"/>
              <w:jc w:val="both"/>
            </w:pPr>
            <w:r>
              <w:t>Erforderlichenfalls, beispielsweise beim Verdacht, dass Schutz- und Hygienemaßnahmen unzureichend sind, ist der Arbeitsbereich auf das Vorhandensein lebensfähiger, bei gentechnischen Arbeiten eingesetzter Organismen zu prüfen.</w:t>
            </w:r>
          </w:p>
        </w:tc>
        <w:sdt>
          <w:sdtPr>
            <w:id w:val="1014035359"/>
            <w14:checkbox>
              <w14:checked w14:val="0"/>
              <w14:checkedState w14:val="2612" w14:font="MS Gothic"/>
              <w14:uncheckedState w14:val="2610" w14:font="MS Gothic"/>
            </w14:checkbox>
          </w:sdtPr>
          <w:sdtContent>
            <w:tc>
              <w:tcPr>
                <w:tcW w:w="426" w:type="dxa"/>
                <w:vAlign w:val="center"/>
              </w:tcPr>
              <w:p w:rsidR="00055D7B" w:rsidRDefault="00055D7B" w:rsidP="00055D7B">
                <w:pPr>
                  <w:jc w:val="center"/>
                </w:pPr>
                <w:r>
                  <w:rPr>
                    <w:rFonts w:ascii="MS Gothic" w:eastAsia="MS Gothic" w:hAnsi="MS Gothic" w:hint="eastAsia"/>
                  </w:rPr>
                  <w:t>☐</w:t>
                </w:r>
              </w:p>
            </w:tc>
          </w:sdtContent>
        </w:sdt>
        <w:sdt>
          <w:sdtPr>
            <w:id w:val="-1828428941"/>
            <w14:checkbox>
              <w14:checked w14:val="0"/>
              <w14:checkedState w14:val="2612" w14:font="MS Gothic"/>
              <w14:uncheckedState w14:val="2610" w14:font="MS Gothic"/>
            </w14:checkbox>
          </w:sdtPr>
          <w:sdtContent>
            <w:tc>
              <w:tcPr>
                <w:tcW w:w="425" w:type="dxa"/>
                <w:vAlign w:val="center"/>
              </w:tcPr>
              <w:p w:rsidR="00055D7B" w:rsidRDefault="00055D7B" w:rsidP="00055D7B">
                <w:pPr>
                  <w:jc w:val="center"/>
                </w:pPr>
                <w:r>
                  <w:rPr>
                    <w:rFonts w:ascii="MS Gothic" w:eastAsia="MS Gothic" w:hAnsi="MS Gothic" w:hint="eastAsia"/>
                  </w:rPr>
                  <w:t>☐</w:t>
                </w:r>
              </w:p>
            </w:tc>
          </w:sdtContent>
        </w:sdt>
        <w:sdt>
          <w:sdtPr>
            <w:id w:val="2065820625"/>
            <w14:checkbox>
              <w14:checked w14:val="0"/>
              <w14:checkedState w14:val="2612" w14:font="MS Gothic"/>
              <w14:uncheckedState w14:val="2610" w14:font="MS Gothic"/>
            </w14:checkbox>
          </w:sdtPr>
          <w:sdtContent>
            <w:tc>
              <w:tcPr>
                <w:tcW w:w="567" w:type="dxa"/>
                <w:vAlign w:val="center"/>
              </w:tcPr>
              <w:p w:rsidR="00055D7B" w:rsidRDefault="00055D7B" w:rsidP="00055D7B">
                <w:pPr>
                  <w:jc w:val="center"/>
                </w:pPr>
                <w:r>
                  <w:rPr>
                    <w:rFonts w:ascii="MS Gothic" w:eastAsia="MS Gothic" w:hAnsi="MS Gothic" w:hint="eastAsia"/>
                  </w:rPr>
                  <w:t>☐</w:t>
                </w:r>
              </w:p>
            </w:tc>
          </w:sdtContent>
        </w:sdt>
        <w:tc>
          <w:tcPr>
            <w:tcW w:w="2693" w:type="dxa"/>
            <w:vMerge/>
            <w:vAlign w:val="center"/>
          </w:tcPr>
          <w:p w:rsidR="00055D7B" w:rsidRDefault="00055D7B" w:rsidP="00055D7B"/>
        </w:tc>
        <w:tc>
          <w:tcPr>
            <w:tcW w:w="2268" w:type="dxa"/>
            <w:vMerge/>
          </w:tcPr>
          <w:p w:rsidR="00055D7B" w:rsidRDefault="00055D7B" w:rsidP="00055D7B"/>
        </w:tc>
      </w:tr>
      <w:tr w:rsidR="00055D7B" w:rsidTr="006925C1">
        <w:tc>
          <w:tcPr>
            <w:tcW w:w="2155" w:type="dxa"/>
            <w:vMerge w:val="restart"/>
            <w:vAlign w:val="center"/>
          </w:tcPr>
          <w:p w:rsidR="00055D7B" w:rsidRDefault="00055D7B" w:rsidP="00055D7B">
            <w:r>
              <w:t>Wartung, Prüfpflichten</w:t>
            </w:r>
          </w:p>
          <w:p w:rsidR="00055D7B" w:rsidRDefault="00055D7B" w:rsidP="00055D7B">
            <w:hyperlink r:id="rId9" w:history="1">
              <w:r w:rsidRPr="00772A3B">
                <w:rPr>
                  <w:rStyle w:val="Hyperlink"/>
                </w:rPr>
                <w:t>Info Link Autoklav</w:t>
              </w:r>
            </w:hyperlink>
          </w:p>
          <w:p w:rsidR="00055D7B" w:rsidRDefault="00055D7B" w:rsidP="00055D7B">
            <w:hyperlink r:id="rId10" w:history="1">
              <w:r w:rsidRPr="00772A3B">
                <w:rPr>
                  <w:rStyle w:val="Hyperlink"/>
                </w:rPr>
                <w:t>Info Link MSW</w:t>
              </w:r>
            </w:hyperlink>
          </w:p>
        </w:tc>
        <w:tc>
          <w:tcPr>
            <w:tcW w:w="6804" w:type="dxa"/>
            <w:vAlign w:val="center"/>
          </w:tcPr>
          <w:p w:rsidR="00055D7B" w:rsidRDefault="00055D7B" w:rsidP="00055D7B">
            <w:r>
              <w:t xml:space="preserve">Geräte wie z.B. Autoklav, Abzug, Sicherheitsschrank, Zentrifuge </w:t>
            </w:r>
            <w:r w:rsidRPr="005D285E">
              <w:rPr>
                <w:b/>
              </w:rPr>
              <w:t>müssen</w:t>
            </w:r>
            <w:r>
              <w:t xml:space="preserve"> gemäß Prüfpflichten geprüft werden. </w:t>
            </w:r>
          </w:p>
          <w:p w:rsidR="00055D7B" w:rsidRPr="00EB7620" w:rsidRDefault="00055D7B" w:rsidP="00055D7B">
            <w:r w:rsidRPr="006925C1">
              <w:rPr>
                <w:sz w:val="18"/>
                <w:szCs w:val="18"/>
              </w:rPr>
              <w:t xml:space="preserve">[Der Nutzer (!) ist hierfür verantwortlich, nicht </w:t>
            </w:r>
            <w:proofErr w:type="spellStart"/>
            <w:r w:rsidRPr="006925C1">
              <w:rPr>
                <w:sz w:val="18"/>
                <w:szCs w:val="18"/>
              </w:rPr>
              <w:t>zB</w:t>
            </w:r>
            <w:proofErr w:type="spellEnd"/>
            <w:r w:rsidRPr="006925C1">
              <w:rPr>
                <w:sz w:val="18"/>
                <w:szCs w:val="18"/>
              </w:rPr>
              <w:t xml:space="preserve"> das Gebäudemanagement.]</w:t>
            </w:r>
          </w:p>
        </w:tc>
        <w:sdt>
          <w:sdtPr>
            <w:id w:val="1967784303"/>
            <w14:checkbox>
              <w14:checked w14:val="0"/>
              <w14:checkedState w14:val="2612" w14:font="MS Gothic"/>
              <w14:uncheckedState w14:val="2610" w14:font="MS Gothic"/>
            </w14:checkbox>
          </w:sdtPr>
          <w:sdtContent>
            <w:tc>
              <w:tcPr>
                <w:tcW w:w="426" w:type="dxa"/>
                <w:vAlign w:val="center"/>
              </w:tcPr>
              <w:p w:rsidR="00055D7B" w:rsidRDefault="00055D7B" w:rsidP="00055D7B">
                <w:pPr>
                  <w:jc w:val="center"/>
                </w:pPr>
                <w:r>
                  <w:rPr>
                    <w:rFonts w:ascii="MS Gothic" w:eastAsia="MS Gothic" w:hAnsi="MS Gothic" w:hint="eastAsia"/>
                  </w:rPr>
                  <w:t>☐</w:t>
                </w:r>
              </w:p>
            </w:tc>
          </w:sdtContent>
        </w:sdt>
        <w:sdt>
          <w:sdtPr>
            <w:id w:val="-932352422"/>
            <w14:checkbox>
              <w14:checked w14:val="0"/>
              <w14:checkedState w14:val="2612" w14:font="MS Gothic"/>
              <w14:uncheckedState w14:val="2610" w14:font="MS Gothic"/>
            </w14:checkbox>
          </w:sdtPr>
          <w:sdtContent>
            <w:tc>
              <w:tcPr>
                <w:tcW w:w="425" w:type="dxa"/>
                <w:vAlign w:val="center"/>
              </w:tcPr>
              <w:p w:rsidR="00055D7B" w:rsidRDefault="00055D7B" w:rsidP="00055D7B">
                <w:pPr>
                  <w:jc w:val="center"/>
                </w:pPr>
                <w:r>
                  <w:rPr>
                    <w:rFonts w:ascii="MS Gothic" w:eastAsia="MS Gothic" w:hAnsi="MS Gothic" w:hint="eastAsia"/>
                  </w:rPr>
                  <w:t>☐</w:t>
                </w:r>
              </w:p>
            </w:tc>
          </w:sdtContent>
        </w:sdt>
        <w:sdt>
          <w:sdtPr>
            <w:id w:val="-994947969"/>
            <w14:checkbox>
              <w14:checked w14:val="0"/>
              <w14:checkedState w14:val="2612" w14:font="MS Gothic"/>
              <w14:uncheckedState w14:val="2610" w14:font="MS Gothic"/>
            </w14:checkbox>
          </w:sdtPr>
          <w:sdtContent>
            <w:tc>
              <w:tcPr>
                <w:tcW w:w="567" w:type="dxa"/>
                <w:vAlign w:val="center"/>
              </w:tcPr>
              <w:p w:rsidR="00055D7B" w:rsidRDefault="00055D7B" w:rsidP="00055D7B">
                <w:pPr>
                  <w:jc w:val="center"/>
                </w:pPr>
                <w:r>
                  <w:rPr>
                    <w:rFonts w:ascii="MS Gothic" w:eastAsia="MS Gothic" w:hAnsi="MS Gothic" w:hint="eastAsia"/>
                  </w:rPr>
                  <w:t>☐</w:t>
                </w:r>
              </w:p>
            </w:tc>
          </w:sdtContent>
        </w:sdt>
        <w:tc>
          <w:tcPr>
            <w:tcW w:w="2693" w:type="dxa"/>
            <w:vAlign w:val="center"/>
          </w:tcPr>
          <w:p w:rsidR="00055D7B" w:rsidRDefault="00055D7B" w:rsidP="00055D7B"/>
        </w:tc>
        <w:tc>
          <w:tcPr>
            <w:tcW w:w="2268" w:type="dxa"/>
          </w:tcPr>
          <w:p w:rsidR="00055D7B" w:rsidRDefault="00055D7B" w:rsidP="00055D7B"/>
        </w:tc>
      </w:tr>
      <w:tr w:rsidR="00055D7B" w:rsidTr="0003098D">
        <w:trPr>
          <w:trHeight w:val="536"/>
        </w:trPr>
        <w:tc>
          <w:tcPr>
            <w:tcW w:w="2155" w:type="dxa"/>
            <w:vMerge/>
            <w:vAlign w:val="center"/>
          </w:tcPr>
          <w:p w:rsidR="00055D7B" w:rsidRDefault="00055D7B" w:rsidP="00055D7B">
            <w:pPr>
              <w:pStyle w:val="Listenabsatz"/>
              <w:numPr>
                <w:ilvl w:val="1"/>
                <w:numId w:val="40"/>
              </w:numPr>
              <w:ind w:left="0"/>
            </w:pPr>
          </w:p>
        </w:tc>
        <w:tc>
          <w:tcPr>
            <w:tcW w:w="6804" w:type="dxa"/>
            <w:vAlign w:val="center"/>
          </w:tcPr>
          <w:p w:rsidR="00055D7B" w:rsidRDefault="00055D7B" w:rsidP="00055D7B">
            <w:r>
              <w:t>Sicherheitswerkbänke: Prüfung durchgeführt?</w:t>
            </w:r>
            <w:r w:rsidRPr="006925C1">
              <w:rPr>
                <w:sz w:val="20"/>
                <w:szCs w:val="20"/>
              </w:rPr>
              <w:t xml:space="preserve"> </w:t>
            </w:r>
            <w:r>
              <w:rPr>
                <w:sz w:val="20"/>
                <w:szCs w:val="20"/>
              </w:rPr>
              <w:t>(Jährlich bei Personenschutz, bei reinem Produktschutz Alternativen möglich, siehe Link)</w:t>
            </w:r>
          </w:p>
        </w:tc>
        <w:sdt>
          <w:sdtPr>
            <w:id w:val="412202202"/>
            <w14:checkbox>
              <w14:checked w14:val="0"/>
              <w14:checkedState w14:val="2612" w14:font="MS Gothic"/>
              <w14:uncheckedState w14:val="2610" w14:font="MS Gothic"/>
            </w14:checkbox>
          </w:sdtPr>
          <w:sdtContent>
            <w:tc>
              <w:tcPr>
                <w:tcW w:w="426" w:type="dxa"/>
                <w:vAlign w:val="center"/>
              </w:tcPr>
              <w:p w:rsidR="00055D7B" w:rsidRDefault="00055D7B" w:rsidP="00055D7B">
                <w:pPr>
                  <w:jc w:val="center"/>
                </w:pPr>
                <w:r>
                  <w:rPr>
                    <w:rFonts w:ascii="MS Gothic" w:eastAsia="MS Gothic" w:hAnsi="MS Gothic" w:hint="eastAsia"/>
                  </w:rPr>
                  <w:t>☐</w:t>
                </w:r>
              </w:p>
            </w:tc>
          </w:sdtContent>
        </w:sdt>
        <w:sdt>
          <w:sdtPr>
            <w:id w:val="2044867020"/>
            <w14:checkbox>
              <w14:checked w14:val="0"/>
              <w14:checkedState w14:val="2612" w14:font="MS Gothic"/>
              <w14:uncheckedState w14:val="2610" w14:font="MS Gothic"/>
            </w14:checkbox>
          </w:sdtPr>
          <w:sdtContent>
            <w:tc>
              <w:tcPr>
                <w:tcW w:w="425" w:type="dxa"/>
                <w:vAlign w:val="center"/>
              </w:tcPr>
              <w:p w:rsidR="00055D7B" w:rsidRDefault="00055D7B" w:rsidP="00055D7B">
                <w:pPr>
                  <w:jc w:val="center"/>
                </w:pPr>
                <w:r>
                  <w:rPr>
                    <w:rFonts w:ascii="MS Gothic" w:eastAsia="MS Gothic" w:hAnsi="MS Gothic" w:hint="eastAsia"/>
                  </w:rPr>
                  <w:t>☐</w:t>
                </w:r>
              </w:p>
            </w:tc>
          </w:sdtContent>
        </w:sdt>
        <w:sdt>
          <w:sdtPr>
            <w:id w:val="-1437435198"/>
            <w14:checkbox>
              <w14:checked w14:val="0"/>
              <w14:checkedState w14:val="2612" w14:font="MS Gothic"/>
              <w14:uncheckedState w14:val="2610" w14:font="MS Gothic"/>
            </w14:checkbox>
          </w:sdtPr>
          <w:sdtContent>
            <w:tc>
              <w:tcPr>
                <w:tcW w:w="567" w:type="dxa"/>
                <w:vAlign w:val="center"/>
              </w:tcPr>
              <w:p w:rsidR="00055D7B" w:rsidRDefault="00055D7B" w:rsidP="00055D7B">
                <w:pPr>
                  <w:jc w:val="center"/>
                </w:pPr>
                <w:r>
                  <w:rPr>
                    <w:rFonts w:ascii="MS Gothic" w:eastAsia="MS Gothic" w:hAnsi="MS Gothic" w:hint="eastAsia"/>
                  </w:rPr>
                  <w:t>☐</w:t>
                </w:r>
              </w:p>
            </w:tc>
          </w:sdtContent>
        </w:sdt>
        <w:tc>
          <w:tcPr>
            <w:tcW w:w="2693" w:type="dxa"/>
            <w:vAlign w:val="center"/>
          </w:tcPr>
          <w:p w:rsidR="00055D7B" w:rsidRDefault="00055D7B" w:rsidP="00055D7B"/>
        </w:tc>
        <w:tc>
          <w:tcPr>
            <w:tcW w:w="2268" w:type="dxa"/>
          </w:tcPr>
          <w:p w:rsidR="00055D7B" w:rsidRDefault="00055D7B" w:rsidP="00055D7B"/>
        </w:tc>
      </w:tr>
      <w:tr w:rsidR="00055D7B" w:rsidTr="006925C1">
        <w:tc>
          <w:tcPr>
            <w:tcW w:w="2155" w:type="dxa"/>
            <w:vAlign w:val="center"/>
          </w:tcPr>
          <w:p w:rsidR="00055D7B" w:rsidRDefault="00055D7B" w:rsidP="00055D7B">
            <w:pPr>
              <w:spacing w:after="120"/>
            </w:pPr>
            <w:r>
              <w:t>Aufzeichnungen</w:t>
            </w:r>
          </w:p>
          <w:p w:rsidR="00055D7B" w:rsidRDefault="00055D7B" w:rsidP="00055D7B">
            <w:hyperlink r:id="rId11" w:history="1">
              <w:r w:rsidRPr="00E865DE">
                <w:rPr>
                  <w:rStyle w:val="Hyperlink"/>
                </w:rPr>
                <w:t>Info Link</w:t>
              </w:r>
            </w:hyperlink>
          </w:p>
        </w:tc>
        <w:tc>
          <w:tcPr>
            <w:tcW w:w="6804" w:type="dxa"/>
          </w:tcPr>
          <w:p w:rsidR="00055D7B" w:rsidRDefault="00055D7B" w:rsidP="00055D7B">
            <w:pPr>
              <w:jc w:val="both"/>
            </w:pPr>
            <w:r>
              <w:t xml:space="preserve">Über gentechnische Arbeiten </w:t>
            </w:r>
            <w:r w:rsidRPr="00AC3645">
              <w:rPr>
                <w:b/>
              </w:rPr>
              <w:t>müssen</w:t>
            </w:r>
            <w:r>
              <w:t xml:space="preserve"> Aufzeichnungen geführt werden. Inhalt und Form werden durch die GenTAufzV geregelt. Aufbewahrungspflicht für S1: 10 Jahre. </w:t>
            </w:r>
          </w:p>
        </w:tc>
        <w:sdt>
          <w:sdtPr>
            <w:id w:val="1279142559"/>
            <w14:checkbox>
              <w14:checked w14:val="0"/>
              <w14:checkedState w14:val="2612" w14:font="MS Gothic"/>
              <w14:uncheckedState w14:val="2610" w14:font="MS Gothic"/>
            </w14:checkbox>
          </w:sdtPr>
          <w:sdtContent>
            <w:tc>
              <w:tcPr>
                <w:tcW w:w="426" w:type="dxa"/>
                <w:vAlign w:val="center"/>
              </w:tcPr>
              <w:p w:rsidR="00055D7B" w:rsidRDefault="00055D7B" w:rsidP="00055D7B">
                <w:pPr>
                  <w:jc w:val="center"/>
                </w:pPr>
                <w:r>
                  <w:rPr>
                    <w:rFonts w:ascii="MS Gothic" w:eastAsia="MS Gothic" w:hAnsi="MS Gothic" w:hint="eastAsia"/>
                  </w:rPr>
                  <w:t>☐</w:t>
                </w:r>
              </w:p>
            </w:tc>
          </w:sdtContent>
        </w:sdt>
        <w:sdt>
          <w:sdtPr>
            <w:id w:val="170767192"/>
            <w14:checkbox>
              <w14:checked w14:val="0"/>
              <w14:checkedState w14:val="2612" w14:font="MS Gothic"/>
              <w14:uncheckedState w14:val="2610" w14:font="MS Gothic"/>
            </w14:checkbox>
          </w:sdtPr>
          <w:sdtContent>
            <w:tc>
              <w:tcPr>
                <w:tcW w:w="425" w:type="dxa"/>
                <w:vAlign w:val="center"/>
              </w:tcPr>
              <w:p w:rsidR="00055D7B" w:rsidRDefault="00055D7B" w:rsidP="00055D7B">
                <w:pPr>
                  <w:jc w:val="center"/>
                </w:pPr>
                <w:r>
                  <w:rPr>
                    <w:rFonts w:ascii="MS Gothic" w:eastAsia="MS Gothic" w:hAnsi="MS Gothic" w:hint="eastAsia"/>
                  </w:rPr>
                  <w:t>☐</w:t>
                </w:r>
              </w:p>
            </w:tc>
          </w:sdtContent>
        </w:sdt>
        <w:sdt>
          <w:sdtPr>
            <w:id w:val="-1492560775"/>
            <w14:checkbox>
              <w14:checked w14:val="0"/>
              <w14:checkedState w14:val="2612" w14:font="MS Gothic"/>
              <w14:uncheckedState w14:val="2610" w14:font="MS Gothic"/>
            </w14:checkbox>
          </w:sdtPr>
          <w:sdtContent>
            <w:tc>
              <w:tcPr>
                <w:tcW w:w="567" w:type="dxa"/>
                <w:vAlign w:val="center"/>
              </w:tcPr>
              <w:p w:rsidR="00055D7B" w:rsidRDefault="00055D7B" w:rsidP="00055D7B">
                <w:pPr>
                  <w:jc w:val="center"/>
                </w:pPr>
                <w:r>
                  <w:rPr>
                    <w:rFonts w:ascii="MS Gothic" w:eastAsia="MS Gothic" w:hAnsi="MS Gothic" w:hint="eastAsia"/>
                  </w:rPr>
                  <w:t>☐</w:t>
                </w:r>
              </w:p>
            </w:tc>
          </w:sdtContent>
        </w:sdt>
        <w:tc>
          <w:tcPr>
            <w:tcW w:w="2693" w:type="dxa"/>
            <w:vAlign w:val="center"/>
          </w:tcPr>
          <w:p w:rsidR="00055D7B" w:rsidRDefault="00055D7B" w:rsidP="00055D7B"/>
        </w:tc>
        <w:tc>
          <w:tcPr>
            <w:tcW w:w="2268" w:type="dxa"/>
          </w:tcPr>
          <w:p w:rsidR="00055D7B" w:rsidRDefault="00055D7B" w:rsidP="00055D7B"/>
        </w:tc>
      </w:tr>
      <w:tr w:rsidR="00055D7B" w:rsidTr="006925C1">
        <w:tc>
          <w:tcPr>
            <w:tcW w:w="2155" w:type="dxa"/>
            <w:vAlign w:val="center"/>
          </w:tcPr>
          <w:p w:rsidR="00055D7B" w:rsidRDefault="00055D7B" w:rsidP="00055D7B">
            <w:r>
              <w:t>Unterweisungen</w:t>
            </w:r>
          </w:p>
        </w:tc>
        <w:tc>
          <w:tcPr>
            <w:tcW w:w="6804" w:type="dxa"/>
          </w:tcPr>
          <w:p w:rsidR="00055D7B" w:rsidRDefault="00055D7B" w:rsidP="00055D7B">
            <w:pPr>
              <w:jc w:val="both"/>
            </w:pPr>
            <w:r>
              <w:t xml:space="preserve">Beschäftigte </w:t>
            </w:r>
            <w:r w:rsidRPr="00442768">
              <w:rPr>
                <w:b/>
              </w:rPr>
              <w:t>müssen</w:t>
            </w:r>
            <w:r>
              <w:t xml:space="preserve"> bei </w:t>
            </w:r>
            <w:r w:rsidRPr="00077260">
              <w:rPr>
                <w:u w:val="single"/>
              </w:rPr>
              <w:t>Arbeitsantritt</w:t>
            </w:r>
            <w:r>
              <w:t xml:space="preserve"> und dann </w:t>
            </w:r>
            <w:r w:rsidRPr="00077260">
              <w:rPr>
                <w:u w:val="single"/>
              </w:rPr>
              <w:t>jährlich</w:t>
            </w:r>
            <w:r>
              <w:t xml:space="preserve"> anhand der Betriebsanweisung unterwiesen werden. </w:t>
            </w:r>
            <w:r w:rsidRPr="00077260">
              <w:t xml:space="preserve">Inhalt </w:t>
            </w:r>
            <w:r w:rsidRPr="00C64AE0">
              <w:t xml:space="preserve">und Zeitpunkt der Unterweisungen sind </w:t>
            </w:r>
            <w:r w:rsidRPr="00D01200">
              <w:rPr>
                <w:b/>
              </w:rPr>
              <w:t>schriftlich</w:t>
            </w:r>
            <w:r w:rsidRPr="00C64AE0">
              <w:t xml:space="preserve"> festzuhalten und von den Unterwiesenen d</w:t>
            </w:r>
            <w:r>
              <w:t xml:space="preserve">urch </w:t>
            </w:r>
            <w:r w:rsidRPr="00D01200">
              <w:rPr>
                <w:b/>
              </w:rPr>
              <w:t>Unterschrift</w:t>
            </w:r>
            <w:r>
              <w:t xml:space="preserve"> zu bestätigen.</w:t>
            </w:r>
          </w:p>
        </w:tc>
        <w:sdt>
          <w:sdtPr>
            <w:id w:val="1631510197"/>
            <w14:checkbox>
              <w14:checked w14:val="0"/>
              <w14:checkedState w14:val="2612" w14:font="MS Gothic"/>
              <w14:uncheckedState w14:val="2610" w14:font="MS Gothic"/>
            </w14:checkbox>
          </w:sdtPr>
          <w:sdtContent>
            <w:tc>
              <w:tcPr>
                <w:tcW w:w="426" w:type="dxa"/>
                <w:vAlign w:val="center"/>
              </w:tcPr>
              <w:p w:rsidR="00055D7B" w:rsidRDefault="00055D7B" w:rsidP="00055D7B">
                <w:pPr>
                  <w:jc w:val="center"/>
                </w:pPr>
                <w:r>
                  <w:rPr>
                    <w:rFonts w:ascii="MS Gothic" w:eastAsia="MS Gothic" w:hAnsi="MS Gothic" w:hint="eastAsia"/>
                  </w:rPr>
                  <w:t>☐</w:t>
                </w:r>
              </w:p>
            </w:tc>
          </w:sdtContent>
        </w:sdt>
        <w:sdt>
          <w:sdtPr>
            <w:id w:val="-276800008"/>
            <w14:checkbox>
              <w14:checked w14:val="0"/>
              <w14:checkedState w14:val="2612" w14:font="MS Gothic"/>
              <w14:uncheckedState w14:val="2610" w14:font="MS Gothic"/>
            </w14:checkbox>
          </w:sdtPr>
          <w:sdtContent>
            <w:tc>
              <w:tcPr>
                <w:tcW w:w="425" w:type="dxa"/>
                <w:vAlign w:val="center"/>
              </w:tcPr>
              <w:p w:rsidR="00055D7B" w:rsidRDefault="00055D7B" w:rsidP="00055D7B">
                <w:pPr>
                  <w:jc w:val="center"/>
                </w:pPr>
                <w:r>
                  <w:rPr>
                    <w:rFonts w:ascii="MS Gothic" w:eastAsia="MS Gothic" w:hAnsi="MS Gothic" w:hint="eastAsia"/>
                  </w:rPr>
                  <w:t>☐</w:t>
                </w:r>
              </w:p>
            </w:tc>
          </w:sdtContent>
        </w:sdt>
        <w:sdt>
          <w:sdtPr>
            <w:id w:val="1476799740"/>
            <w14:checkbox>
              <w14:checked w14:val="0"/>
              <w14:checkedState w14:val="2612" w14:font="MS Gothic"/>
              <w14:uncheckedState w14:val="2610" w14:font="MS Gothic"/>
            </w14:checkbox>
          </w:sdtPr>
          <w:sdtContent>
            <w:tc>
              <w:tcPr>
                <w:tcW w:w="567" w:type="dxa"/>
                <w:vAlign w:val="center"/>
              </w:tcPr>
              <w:p w:rsidR="00055D7B" w:rsidRDefault="00055D7B" w:rsidP="00055D7B">
                <w:pPr>
                  <w:jc w:val="center"/>
                </w:pPr>
                <w:r>
                  <w:rPr>
                    <w:rFonts w:ascii="MS Gothic" w:eastAsia="MS Gothic" w:hAnsi="MS Gothic" w:hint="eastAsia"/>
                  </w:rPr>
                  <w:t>☐</w:t>
                </w:r>
              </w:p>
            </w:tc>
          </w:sdtContent>
        </w:sdt>
        <w:tc>
          <w:tcPr>
            <w:tcW w:w="2693" w:type="dxa"/>
            <w:vAlign w:val="center"/>
          </w:tcPr>
          <w:p w:rsidR="00055D7B" w:rsidRDefault="00055D7B" w:rsidP="00055D7B"/>
        </w:tc>
        <w:tc>
          <w:tcPr>
            <w:tcW w:w="2268" w:type="dxa"/>
          </w:tcPr>
          <w:p w:rsidR="00055D7B" w:rsidRDefault="00055D7B" w:rsidP="00055D7B"/>
        </w:tc>
      </w:tr>
      <w:tr w:rsidR="00055D7B" w:rsidRPr="00C64AE0" w:rsidTr="00D907C4">
        <w:trPr>
          <w:trHeight w:val="480"/>
        </w:trPr>
        <w:tc>
          <w:tcPr>
            <w:tcW w:w="2155" w:type="dxa"/>
            <w:vMerge w:val="restart"/>
            <w:shd w:val="clear" w:color="auto" w:fill="auto"/>
            <w:vAlign w:val="center"/>
          </w:tcPr>
          <w:p w:rsidR="00055D7B" w:rsidRPr="005B74C1" w:rsidRDefault="00055D7B" w:rsidP="00055D7B">
            <w:r>
              <w:lastRenderedPageBreak/>
              <w:t>Abfallentsorgung</w:t>
            </w:r>
          </w:p>
        </w:tc>
        <w:tc>
          <w:tcPr>
            <w:tcW w:w="6804" w:type="dxa"/>
            <w:shd w:val="clear" w:color="auto" w:fill="auto"/>
          </w:tcPr>
          <w:p w:rsidR="00BD6182" w:rsidRPr="00BD6182" w:rsidRDefault="00055D7B" w:rsidP="00055D7B">
            <w:pPr>
              <w:pStyle w:val="Listenabsatz"/>
              <w:numPr>
                <w:ilvl w:val="0"/>
                <w:numId w:val="42"/>
              </w:numPr>
              <w:ind w:left="313"/>
              <w:jc w:val="both"/>
            </w:pPr>
            <w:r w:rsidRPr="006925C1">
              <w:t xml:space="preserve">Flüssige und feste Abfälle, die im Zusammenhang mit gentechnischen Arbeiten entstehen sind unschädlich zu entsorgen, enthaltene GVOs zu inaktivieren. </w:t>
            </w:r>
          </w:p>
          <w:p w:rsidR="00055D7B" w:rsidRPr="00C64AE0" w:rsidRDefault="00055D7B" w:rsidP="00BD6182">
            <w:pPr>
              <w:pStyle w:val="Listenabsatz"/>
              <w:ind w:left="313"/>
              <w:jc w:val="both"/>
            </w:pPr>
            <w:r w:rsidRPr="00BD6182">
              <w:rPr>
                <w:sz w:val="16"/>
                <w:szCs w:val="16"/>
              </w:rPr>
              <w:t>Als Methode kommen physikalische Verfahren und chemische Verfahren in Frage, letztere jedoch nur, wenn die Art des Abfalls keine physikalische Behandlung zulässt (</w:t>
            </w:r>
            <w:proofErr w:type="spellStart"/>
            <w:r w:rsidRPr="00BD6182">
              <w:rPr>
                <w:sz w:val="16"/>
                <w:szCs w:val="16"/>
              </w:rPr>
              <w:t>zB</w:t>
            </w:r>
            <w:proofErr w:type="spellEnd"/>
            <w:r w:rsidRPr="00BD6182">
              <w:rPr>
                <w:sz w:val="16"/>
                <w:szCs w:val="16"/>
              </w:rPr>
              <w:t xml:space="preserve"> radioaktive GVO Abfälle). Andere physikalische Verfahren als das Autoklavieren oder chemische Verfahren müssen von</w:t>
            </w:r>
            <w:r w:rsidR="00BD6182">
              <w:rPr>
                <w:sz w:val="16"/>
                <w:szCs w:val="16"/>
              </w:rPr>
              <w:t xml:space="preserve"> der Behörde zugelassen werden!</w:t>
            </w:r>
          </w:p>
        </w:tc>
        <w:tc>
          <w:tcPr>
            <w:tcW w:w="426" w:type="dxa"/>
            <w:shd w:val="clear" w:color="auto" w:fill="auto"/>
            <w:vAlign w:val="center"/>
          </w:tcPr>
          <w:p w:rsidR="00055D7B" w:rsidRPr="00C64AE0" w:rsidRDefault="00055D7B" w:rsidP="00055D7B">
            <w:pPr>
              <w:jc w:val="center"/>
            </w:pPr>
            <w:sdt>
              <w:sdtPr>
                <w:id w:val="-1984309343"/>
                <w14:checkbox>
                  <w14:checked w14:val="0"/>
                  <w14:checkedState w14:val="2612" w14:font="MS Gothic"/>
                  <w14:uncheckedState w14:val="2610" w14:font="MS Gothic"/>
                </w14:checkbox>
              </w:sdtPr>
              <w:sdtContent>
                <w:r>
                  <w:rPr>
                    <w:rFonts w:ascii="MS Gothic" w:eastAsia="MS Gothic" w:hAnsi="MS Gothic" w:hint="eastAsia"/>
                  </w:rPr>
                  <w:t>☐</w:t>
                </w:r>
              </w:sdtContent>
            </w:sdt>
          </w:p>
        </w:tc>
        <w:tc>
          <w:tcPr>
            <w:tcW w:w="425" w:type="dxa"/>
            <w:vAlign w:val="center"/>
          </w:tcPr>
          <w:p w:rsidR="00055D7B" w:rsidRDefault="00055D7B" w:rsidP="00055D7B">
            <w:pPr>
              <w:jc w:val="center"/>
            </w:pPr>
            <w:sdt>
              <w:sdtPr>
                <w:id w:val="394245716"/>
                <w14:checkbox>
                  <w14:checked w14:val="0"/>
                  <w14:checkedState w14:val="2612" w14:font="MS Gothic"/>
                  <w14:uncheckedState w14:val="2610" w14:font="MS Gothic"/>
                </w14:checkbox>
              </w:sdtPr>
              <w:sdtContent>
                <w:r>
                  <w:rPr>
                    <w:rFonts w:ascii="MS Gothic" w:eastAsia="MS Gothic" w:hAnsi="MS Gothic" w:hint="eastAsia"/>
                  </w:rPr>
                  <w:t>☐</w:t>
                </w:r>
              </w:sdtContent>
            </w:sdt>
          </w:p>
        </w:tc>
        <w:tc>
          <w:tcPr>
            <w:tcW w:w="567" w:type="dxa"/>
            <w:vAlign w:val="center"/>
          </w:tcPr>
          <w:p w:rsidR="00055D7B" w:rsidRDefault="00055D7B" w:rsidP="00055D7B">
            <w:pPr>
              <w:jc w:val="center"/>
            </w:pPr>
            <w:sdt>
              <w:sdtPr>
                <w:id w:val="714390860"/>
                <w14:checkbox>
                  <w14:checked w14:val="0"/>
                  <w14:checkedState w14:val="2612" w14:font="MS Gothic"/>
                  <w14:uncheckedState w14:val="2610" w14:font="MS Gothic"/>
                </w14:checkbox>
              </w:sdtPr>
              <w:sdtContent>
                <w:r>
                  <w:rPr>
                    <w:rFonts w:ascii="MS Gothic" w:eastAsia="MS Gothic" w:hAnsi="MS Gothic" w:hint="eastAsia"/>
                  </w:rPr>
                  <w:t>☐</w:t>
                </w:r>
              </w:sdtContent>
            </w:sdt>
          </w:p>
        </w:tc>
        <w:tc>
          <w:tcPr>
            <w:tcW w:w="2693" w:type="dxa"/>
            <w:vMerge w:val="restart"/>
            <w:vAlign w:val="center"/>
          </w:tcPr>
          <w:p w:rsidR="00055D7B" w:rsidRDefault="00055D7B" w:rsidP="00055D7B"/>
        </w:tc>
        <w:tc>
          <w:tcPr>
            <w:tcW w:w="2268" w:type="dxa"/>
            <w:vMerge w:val="restart"/>
          </w:tcPr>
          <w:p w:rsidR="00055D7B" w:rsidRDefault="00055D7B" w:rsidP="00055D7B"/>
        </w:tc>
      </w:tr>
      <w:tr w:rsidR="00055D7B" w:rsidRPr="00C64AE0" w:rsidTr="006925C1">
        <w:trPr>
          <w:trHeight w:val="822"/>
        </w:trPr>
        <w:tc>
          <w:tcPr>
            <w:tcW w:w="2155" w:type="dxa"/>
            <w:vMerge/>
            <w:shd w:val="clear" w:color="auto" w:fill="auto"/>
            <w:vAlign w:val="center"/>
          </w:tcPr>
          <w:p w:rsidR="00055D7B" w:rsidRDefault="00055D7B" w:rsidP="00055D7B">
            <w:pPr>
              <w:ind w:left="169"/>
            </w:pPr>
          </w:p>
        </w:tc>
        <w:tc>
          <w:tcPr>
            <w:tcW w:w="6804" w:type="dxa"/>
            <w:shd w:val="clear" w:color="auto" w:fill="auto"/>
          </w:tcPr>
          <w:p w:rsidR="00055D7B" w:rsidRPr="006925C1" w:rsidRDefault="00055D7B" w:rsidP="00055D7B">
            <w:pPr>
              <w:pStyle w:val="Listenabsatz"/>
              <w:numPr>
                <w:ilvl w:val="0"/>
                <w:numId w:val="42"/>
              </w:numPr>
              <w:ind w:left="313"/>
              <w:jc w:val="both"/>
            </w:pPr>
            <w:r>
              <w:t xml:space="preserve">Gentechnische veränderte Tiere werden nach der Tötung nach Vorschrift entsorgt, enthalten sie Mikroorganismen werden sie zuvor ebenfalls autoklaviert. </w:t>
            </w:r>
          </w:p>
        </w:tc>
        <w:sdt>
          <w:sdtPr>
            <w:id w:val="1119571422"/>
            <w14:checkbox>
              <w14:checked w14:val="0"/>
              <w14:checkedState w14:val="2612" w14:font="MS Gothic"/>
              <w14:uncheckedState w14:val="2610" w14:font="MS Gothic"/>
            </w14:checkbox>
          </w:sdtPr>
          <w:sdtContent>
            <w:tc>
              <w:tcPr>
                <w:tcW w:w="426" w:type="dxa"/>
                <w:shd w:val="clear" w:color="auto" w:fill="auto"/>
                <w:vAlign w:val="center"/>
              </w:tcPr>
              <w:p w:rsidR="00055D7B" w:rsidRDefault="00055D7B" w:rsidP="00055D7B">
                <w:pPr>
                  <w:jc w:val="center"/>
                </w:pPr>
                <w:r>
                  <w:rPr>
                    <w:rFonts w:ascii="MS Gothic" w:eastAsia="MS Gothic" w:hAnsi="MS Gothic" w:hint="eastAsia"/>
                  </w:rPr>
                  <w:t>☐</w:t>
                </w:r>
              </w:p>
            </w:tc>
          </w:sdtContent>
        </w:sdt>
        <w:sdt>
          <w:sdtPr>
            <w:id w:val="-1888786187"/>
            <w14:checkbox>
              <w14:checked w14:val="0"/>
              <w14:checkedState w14:val="2612" w14:font="MS Gothic"/>
              <w14:uncheckedState w14:val="2610" w14:font="MS Gothic"/>
            </w14:checkbox>
          </w:sdtPr>
          <w:sdtContent>
            <w:tc>
              <w:tcPr>
                <w:tcW w:w="425" w:type="dxa"/>
                <w:vAlign w:val="center"/>
              </w:tcPr>
              <w:p w:rsidR="00055D7B" w:rsidRDefault="00055D7B" w:rsidP="00055D7B">
                <w:pPr>
                  <w:jc w:val="center"/>
                </w:pPr>
                <w:r>
                  <w:rPr>
                    <w:rFonts w:ascii="MS Gothic" w:eastAsia="MS Gothic" w:hAnsi="MS Gothic" w:hint="eastAsia"/>
                  </w:rPr>
                  <w:t>☐</w:t>
                </w:r>
              </w:p>
            </w:tc>
          </w:sdtContent>
        </w:sdt>
        <w:sdt>
          <w:sdtPr>
            <w:id w:val="-917324610"/>
            <w14:checkbox>
              <w14:checked w14:val="0"/>
              <w14:checkedState w14:val="2612" w14:font="MS Gothic"/>
              <w14:uncheckedState w14:val="2610" w14:font="MS Gothic"/>
            </w14:checkbox>
          </w:sdtPr>
          <w:sdtContent>
            <w:tc>
              <w:tcPr>
                <w:tcW w:w="567" w:type="dxa"/>
                <w:vAlign w:val="center"/>
              </w:tcPr>
              <w:p w:rsidR="00055D7B" w:rsidRDefault="00055D7B" w:rsidP="00055D7B">
                <w:pPr>
                  <w:jc w:val="center"/>
                </w:pPr>
                <w:r>
                  <w:rPr>
                    <w:rFonts w:ascii="MS Gothic" w:eastAsia="MS Gothic" w:hAnsi="MS Gothic" w:hint="eastAsia"/>
                  </w:rPr>
                  <w:t>☐</w:t>
                </w:r>
              </w:p>
            </w:tc>
          </w:sdtContent>
        </w:sdt>
        <w:tc>
          <w:tcPr>
            <w:tcW w:w="2693" w:type="dxa"/>
            <w:vMerge/>
            <w:vAlign w:val="center"/>
          </w:tcPr>
          <w:p w:rsidR="00055D7B" w:rsidRDefault="00055D7B" w:rsidP="00055D7B"/>
        </w:tc>
        <w:tc>
          <w:tcPr>
            <w:tcW w:w="2268" w:type="dxa"/>
            <w:vMerge/>
          </w:tcPr>
          <w:p w:rsidR="00055D7B" w:rsidRDefault="00055D7B" w:rsidP="00055D7B"/>
        </w:tc>
      </w:tr>
      <w:tr w:rsidR="00055D7B" w:rsidRPr="00C64AE0" w:rsidTr="00D907C4">
        <w:trPr>
          <w:trHeight w:val="429"/>
        </w:trPr>
        <w:tc>
          <w:tcPr>
            <w:tcW w:w="2155" w:type="dxa"/>
            <w:vMerge/>
            <w:shd w:val="clear" w:color="auto" w:fill="auto"/>
            <w:vAlign w:val="center"/>
          </w:tcPr>
          <w:p w:rsidR="00055D7B" w:rsidRDefault="00055D7B" w:rsidP="00055D7B">
            <w:pPr>
              <w:ind w:left="169"/>
            </w:pPr>
          </w:p>
        </w:tc>
        <w:tc>
          <w:tcPr>
            <w:tcW w:w="6804" w:type="dxa"/>
            <w:shd w:val="clear" w:color="auto" w:fill="auto"/>
          </w:tcPr>
          <w:p w:rsidR="00055D7B" w:rsidRPr="006925C1" w:rsidRDefault="00055D7B" w:rsidP="00BD6182">
            <w:pPr>
              <w:pStyle w:val="Listenabsatz"/>
              <w:numPr>
                <w:ilvl w:val="0"/>
                <w:numId w:val="42"/>
              </w:numPr>
              <w:ind w:left="313"/>
              <w:jc w:val="both"/>
            </w:pPr>
            <w:r>
              <w:t>Abfallbehälter sind mit S1 zu kennzeichnen.</w:t>
            </w:r>
          </w:p>
        </w:tc>
        <w:sdt>
          <w:sdtPr>
            <w:id w:val="682175047"/>
            <w14:checkbox>
              <w14:checked w14:val="0"/>
              <w14:checkedState w14:val="2612" w14:font="MS Gothic"/>
              <w14:uncheckedState w14:val="2610" w14:font="MS Gothic"/>
            </w14:checkbox>
          </w:sdtPr>
          <w:sdtContent>
            <w:tc>
              <w:tcPr>
                <w:tcW w:w="426" w:type="dxa"/>
                <w:shd w:val="clear" w:color="auto" w:fill="auto"/>
                <w:vAlign w:val="center"/>
              </w:tcPr>
              <w:p w:rsidR="00055D7B" w:rsidRDefault="00055D7B" w:rsidP="00055D7B">
                <w:pPr>
                  <w:jc w:val="center"/>
                </w:pPr>
                <w:r>
                  <w:rPr>
                    <w:rFonts w:ascii="MS Gothic" w:eastAsia="MS Gothic" w:hAnsi="MS Gothic" w:hint="eastAsia"/>
                  </w:rPr>
                  <w:t>☐</w:t>
                </w:r>
              </w:p>
            </w:tc>
          </w:sdtContent>
        </w:sdt>
        <w:sdt>
          <w:sdtPr>
            <w:id w:val="586042273"/>
            <w14:checkbox>
              <w14:checked w14:val="0"/>
              <w14:checkedState w14:val="2612" w14:font="MS Gothic"/>
              <w14:uncheckedState w14:val="2610" w14:font="MS Gothic"/>
            </w14:checkbox>
          </w:sdtPr>
          <w:sdtContent>
            <w:tc>
              <w:tcPr>
                <w:tcW w:w="425" w:type="dxa"/>
                <w:vAlign w:val="center"/>
              </w:tcPr>
              <w:p w:rsidR="00055D7B" w:rsidRDefault="00055D7B" w:rsidP="00055D7B">
                <w:pPr>
                  <w:jc w:val="center"/>
                </w:pPr>
                <w:r>
                  <w:rPr>
                    <w:rFonts w:ascii="MS Gothic" w:eastAsia="MS Gothic" w:hAnsi="MS Gothic" w:hint="eastAsia"/>
                  </w:rPr>
                  <w:t>☐</w:t>
                </w:r>
              </w:p>
            </w:tc>
          </w:sdtContent>
        </w:sdt>
        <w:sdt>
          <w:sdtPr>
            <w:id w:val="-1501888535"/>
            <w14:checkbox>
              <w14:checked w14:val="0"/>
              <w14:checkedState w14:val="2612" w14:font="MS Gothic"/>
              <w14:uncheckedState w14:val="2610" w14:font="MS Gothic"/>
            </w14:checkbox>
          </w:sdtPr>
          <w:sdtContent>
            <w:tc>
              <w:tcPr>
                <w:tcW w:w="567" w:type="dxa"/>
                <w:vAlign w:val="center"/>
              </w:tcPr>
              <w:p w:rsidR="00055D7B" w:rsidRDefault="00055D7B" w:rsidP="00055D7B">
                <w:pPr>
                  <w:jc w:val="center"/>
                </w:pPr>
                <w:r>
                  <w:rPr>
                    <w:rFonts w:ascii="MS Gothic" w:eastAsia="MS Gothic" w:hAnsi="MS Gothic" w:hint="eastAsia"/>
                  </w:rPr>
                  <w:t>☐</w:t>
                </w:r>
              </w:p>
            </w:tc>
          </w:sdtContent>
        </w:sdt>
        <w:tc>
          <w:tcPr>
            <w:tcW w:w="2693" w:type="dxa"/>
            <w:vMerge/>
            <w:vAlign w:val="center"/>
          </w:tcPr>
          <w:p w:rsidR="00055D7B" w:rsidRDefault="00055D7B" w:rsidP="00055D7B"/>
        </w:tc>
        <w:tc>
          <w:tcPr>
            <w:tcW w:w="2268" w:type="dxa"/>
            <w:vMerge/>
          </w:tcPr>
          <w:p w:rsidR="00055D7B" w:rsidRDefault="00055D7B" w:rsidP="00055D7B"/>
        </w:tc>
      </w:tr>
      <w:tr w:rsidR="00055D7B" w:rsidTr="006925C1">
        <w:trPr>
          <w:trHeight w:val="672"/>
        </w:trPr>
        <w:tc>
          <w:tcPr>
            <w:tcW w:w="2155" w:type="dxa"/>
            <w:vMerge w:val="restart"/>
            <w:vAlign w:val="center"/>
          </w:tcPr>
          <w:p w:rsidR="00055D7B" w:rsidRDefault="00055D7B" w:rsidP="00055D7B">
            <w:r>
              <w:t>Betriebsanweisung</w:t>
            </w:r>
          </w:p>
        </w:tc>
        <w:tc>
          <w:tcPr>
            <w:tcW w:w="6804" w:type="dxa"/>
          </w:tcPr>
          <w:p w:rsidR="00055D7B" w:rsidRPr="008A1C9E" w:rsidRDefault="00055D7B" w:rsidP="00055D7B">
            <w:pPr>
              <w:pStyle w:val="Listenabsatz"/>
              <w:numPr>
                <w:ilvl w:val="0"/>
                <w:numId w:val="22"/>
              </w:numPr>
              <w:ind w:left="313"/>
              <w:jc w:val="both"/>
              <w:rPr>
                <w:sz w:val="18"/>
                <w:szCs w:val="18"/>
              </w:rPr>
            </w:pPr>
            <w:r>
              <w:t xml:space="preserve">Es </w:t>
            </w:r>
            <w:r w:rsidRPr="00735A8C">
              <w:rPr>
                <w:b/>
              </w:rPr>
              <w:t>muss</w:t>
            </w:r>
            <w:r>
              <w:t xml:space="preserve"> eine detaillierte S1 Labor-Betriebsanweisung erstellt und ausgehängt werden oder anderweitig </w:t>
            </w:r>
            <w:r w:rsidRPr="002310AB">
              <w:rPr>
                <w:u w:val="single"/>
              </w:rPr>
              <w:t>leicht</w:t>
            </w:r>
            <w:r>
              <w:t xml:space="preserve"> verfügbar sein. </w:t>
            </w:r>
            <w:r w:rsidRPr="008A1C9E">
              <w:rPr>
                <w:sz w:val="18"/>
                <w:szCs w:val="18"/>
              </w:rPr>
              <w:t xml:space="preserve">[Vorlage Homepage </w:t>
            </w:r>
            <w:r w:rsidR="00BD6182">
              <w:rPr>
                <w:sz w:val="18"/>
                <w:szCs w:val="18"/>
              </w:rPr>
              <w:t>Biologische Sicherheit</w:t>
            </w:r>
            <w:r w:rsidRPr="008A1C9E">
              <w:rPr>
                <w:sz w:val="18"/>
                <w:szCs w:val="18"/>
              </w:rPr>
              <w:t>].</w:t>
            </w:r>
          </w:p>
          <w:p w:rsidR="00055D7B" w:rsidRDefault="00055D7B" w:rsidP="00055D7B">
            <w:pPr>
              <w:pStyle w:val="Listenabsatz"/>
              <w:numPr>
                <w:ilvl w:val="0"/>
                <w:numId w:val="22"/>
              </w:numPr>
              <w:ind w:left="313"/>
              <w:jc w:val="both"/>
            </w:pPr>
            <w:r>
              <w:t>Die Betriebsanweisung ist bei Bedarf aber mind. alle 2 Jahre zu überprüfen und wenn nötig zu aktualisieren.</w:t>
            </w:r>
          </w:p>
        </w:tc>
        <w:tc>
          <w:tcPr>
            <w:tcW w:w="426" w:type="dxa"/>
            <w:vAlign w:val="center"/>
          </w:tcPr>
          <w:sdt>
            <w:sdtPr>
              <w:id w:val="567544043"/>
              <w14:checkbox>
                <w14:checked w14:val="0"/>
                <w14:checkedState w14:val="2612" w14:font="MS Gothic"/>
                <w14:uncheckedState w14:val="2610" w14:font="MS Gothic"/>
              </w14:checkbox>
            </w:sdtPr>
            <w:sdtContent>
              <w:p w:rsidR="00055D7B" w:rsidRDefault="00055D7B" w:rsidP="00055D7B">
                <w:pPr>
                  <w:jc w:val="center"/>
                </w:pPr>
                <w:r>
                  <w:rPr>
                    <w:rFonts w:ascii="MS Gothic" w:eastAsia="MS Gothic" w:hAnsi="MS Gothic" w:hint="eastAsia"/>
                  </w:rPr>
                  <w:t>☐</w:t>
                </w:r>
              </w:p>
            </w:sdtContent>
          </w:sdt>
          <w:p w:rsidR="00055D7B" w:rsidRDefault="00055D7B" w:rsidP="00055D7B">
            <w:pPr>
              <w:jc w:val="center"/>
            </w:pPr>
          </w:p>
          <w:sdt>
            <w:sdtPr>
              <w:id w:val="-48920435"/>
              <w14:checkbox>
                <w14:checked w14:val="0"/>
                <w14:checkedState w14:val="2612" w14:font="MS Gothic"/>
                <w14:uncheckedState w14:val="2610" w14:font="MS Gothic"/>
              </w14:checkbox>
            </w:sdtPr>
            <w:sdtContent>
              <w:p w:rsidR="00055D7B" w:rsidRDefault="00055D7B" w:rsidP="00055D7B">
                <w:pPr>
                  <w:jc w:val="center"/>
                </w:pPr>
                <w:r>
                  <w:rPr>
                    <w:rFonts w:ascii="MS Gothic" w:eastAsia="MS Gothic" w:hAnsi="MS Gothic" w:hint="eastAsia"/>
                  </w:rPr>
                  <w:t>☐</w:t>
                </w:r>
              </w:p>
            </w:sdtContent>
          </w:sdt>
        </w:tc>
        <w:tc>
          <w:tcPr>
            <w:tcW w:w="425" w:type="dxa"/>
            <w:vAlign w:val="center"/>
          </w:tcPr>
          <w:sdt>
            <w:sdtPr>
              <w:id w:val="1619717367"/>
              <w14:checkbox>
                <w14:checked w14:val="0"/>
                <w14:checkedState w14:val="2612" w14:font="MS Gothic"/>
                <w14:uncheckedState w14:val="2610" w14:font="MS Gothic"/>
              </w14:checkbox>
            </w:sdtPr>
            <w:sdtContent>
              <w:p w:rsidR="00055D7B" w:rsidRDefault="00055D7B" w:rsidP="00055D7B">
                <w:pPr>
                  <w:jc w:val="center"/>
                </w:pPr>
                <w:r>
                  <w:rPr>
                    <w:rFonts w:ascii="MS Gothic" w:eastAsia="MS Gothic" w:hAnsi="MS Gothic" w:hint="eastAsia"/>
                  </w:rPr>
                  <w:t>☐</w:t>
                </w:r>
              </w:p>
            </w:sdtContent>
          </w:sdt>
          <w:p w:rsidR="00055D7B" w:rsidRDefault="00055D7B" w:rsidP="00055D7B">
            <w:pPr>
              <w:jc w:val="center"/>
            </w:pPr>
          </w:p>
          <w:sdt>
            <w:sdtPr>
              <w:id w:val="782225721"/>
              <w14:checkbox>
                <w14:checked w14:val="0"/>
                <w14:checkedState w14:val="2612" w14:font="MS Gothic"/>
                <w14:uncheckedState w14:val="2610" w14:font="MS Gothic"/>
              </w14:checkbox>
            </w:sdtPr>
            <w:sdtContent>
              <w:p w:rsidR="00055D7B" w:rsidRDefault="00055D7B" w:rsidP="00055D7B">
                <w:pPr>
                  <w:jc w:val="center"/>
                </w:pPr>
                <w:r>
                  <w:rPr>
                    <w:rFonts w:ascii="MS Gothic" w:eastAsia="MS Gothic" w:hAnsi="MS Gothic" w:hint="eastAsia"/>
                  </w:rPr>
                  <w:t>☐</w:t>
                </w:r>
              </w:p>
            </w:sdtContent>
          </w:sdt>
        </w:tc>
        <w:tc>
          <w:tcPr>
            <w:tcW w:w="567" w:type="dxa"/>
            <w:vAlign w:val="center"/>
          </w:tcPr>
          <w:sdt>
            <w:sdtPr>
              <w:id w:val="924540152"/>
              <w14:checkbox>
                <w14:checked w14:val="0"/>
                <w14:checkedState w14:val="2612" w14:font="MS Gothic"/>
                <w14:uncheckedState w14:val="2610" w14:font="MS Gothic"/>
              </w14:checkbox>
            </w:sdtPr>
            <w:sdtContent>
              <w:p w:rsidR="00055D7B" w:rsidRDefault="00055D7B" w:rsidP="00055D7B">
                <w:pPr>
                  <w:jc w:val="center"/>
                </w:pPr>
                <w:r>
                  <w:rPr>
                    <w:rFonts w:ascii="MS Gothic" w:eastAsia="MS Gothic" w:hAnsi="MS Gothic" w:hint="eastAsia"/>
                  </w:rPr>
                  <w:t>☐</w:t>
                </w:r>
              </w:p>
            </w:sdtContent>
          </w:sdt>
          <w:p w:rsidR="00055D7B" w:rsidRDefault="00055D7B" w:rsidP="00055D7B">
            <w:pPr>
              <w:jc w:val="center"/>
            </w:pPr>
          </w:p>
          <w:sdt>
            <w:sdtPr>
              <w:id w:val="-933365330"/>
              <w14:checkbox>
                <w14:checked w14:val="0"/>
                <w14:checkedState w14:val="2612" w14:font="MS Gothic"/>
                <w14:uncheckedState w14:val="2610" w14:font="MS Gothic"/>
              </w14:checkbox>
            </w:sdtPr>
            <w:sdtContent>
              <w:p w:rsidR="00055D7B" w:rsidRDefault="00055D7B" w:rsidP="00055D7B">
                <w:pPr>
                  <w:jc w:val="center"/>
                </w:pPr>
                <w:r>
                  <w:rPr>
                    <w:rFonts w:ascii="MS Gothic" w:eastAsia="MS Gothic" w:hAnsi="MS Gothic" w:hint="eastAsia"/>
                  </w:rPr>
                  <w:t>☐</w:t>
                </w:r>
              </w:p>
            </w:sdtContent>
          </w:sdt>
        </w:tc>
        <w:tc>
          <w:tcPr>
            <w:tcW w:w="2693" w:type="dxa"/>
            <w:vAlign w:val="center"/>
          </w:tcPr>
          <w:p w:rsidR="00055D7B" w:rsidRDefault="00055D7B" w:rsidP="00055D7B"/>
        </w:tc>
        <w:tc>
          <w:tcPr>
            <w:tcW w:w="2268" w:type="dxa"/>
          </w:tcPr>
          <w:p w:rsidR="00055D7B" w:rsidRDefault="00055D7B" w:rsidP="00055D7B"/>
        </w:tc>
      </w:tr>
      <w:tr w:rsidR="00055D7B" w:rsidTr="00D2701E">
        <w:tc>
          <w:tcPr>
            <w:tcW w:w="2155" w:type="dxa"/>
            <w:vMerge/>
          </w:tcPr>
          <w:p w:rsidR="00055D7B" w:rsidRDefault="00055D7B" w:rsidP="00055D7B">
            <w:pPr>
              <w:pStyle w:val="Listenabsatz"/>
              <w:ind w:left="567"/>
            </w:pPr>
          </w:p>
        </w:tc>
        <w:tc>
          <w:tcPr>
            <w:tcW w:w="6804" w:type="dxa"/>
          </w:tcPr>
          <w:p w:rsidR="00055D7B" w:rsidRDefault="00055D7B" w:rsidP="00055D7B">
            <w:pPr>
              <w:jc w:val="both"/>
            </w:pPr>
            <w:r>
              <w:t xml:space="preserve">Bei Geräten/Gefahrstoffen mit erhöhter Unfallgefahr und/oder GVO-Kontamination sollen Betriebsanweisungen aushängen. </w:t>
            </w:r>
          </w:p>
          <w:p w:rsidR="00055D7B" w:rsidRDefault="00055D7B" w:rsidP="00055D7B">
            <w:pPr>
              <w:jc w:val="both"/>
            </w:pPr>
            <w:r w:rsidRPr="006925C1">
              <w:rPr>
                <w:sz w:val="18"/>
                <w:szCs w:val="18"/>
              </w:rPr>
              <w:t>[z.B. Autoklav, Abzug, Zentrifugen, Flüssigstickstoff-Behälter, Sicherheitswerkbank, giftige/ ätzende/ brennbare Stoffe. ]</w:t>
            </w:r>
          </w:p>
        </w:tc>
        <w:sdt>
          <w:sdtPr>
            <w:id w:val="1558964284"/>
            <w14:checkbox>
              <w14:checked w14:val="0"/>
              <w14:checkedState w14:val="2612" w14:font="MS Gothic"/>
              <w14:uncheckedState w14:val="2610" w14:font="MS Gothic"/>
            </w14:checkbox>
          </w:sdtPr>
          <w:sdtContent>
            <w:tc>
              <w:tcPr>
                <w:tcW w:w="426" w:type="dxa"/>
                <w:vAlign w:val="center"/>
              </w:tcPr>
              <w:p w:rsidR="00055D7B" w:rsidRDefault="00055D7B" w:rsidP="00055D7B">
                <w:pPr>
                  <w:jc w:val="center"/>
                </w:pPr>
                <w:r>
                  <w:rPr>
                    <w:rFonts w:ascii="MS Gothic" w:eastAsia="MS Gothic" w:hAnsi="MS Gothic" w:hint="eastAsia"/>
                  </w:rPr>
                  <w:t>☐</w:t>
                </w:r>
              </w:p>
            </w:tc>
          </w:sdtContent>
        </w:sdt>
        <w:sdt>
          <w:sdtPr>
            <w:id w:val="-128021912"/>
            <w14:checkbox>
              <w14:checked w14:val="0"/>
              <w14:checkedState w14:val="2612" w14:font="MS Gothic"/>
              <w14:uncheckedState w14:val="2610" w14:font="MS Gothic"/>
            </w14:checkbox>
          </w:sdtPr>
          <w:sdtContent>
            <w:tc>
              <w:tcPr>
                <w:tcW w:w="425" w:type="dxa"/>
                <w:vAlign w:val="center"/>
              </w:tcPr>
              <w:p w:rsidR="00055D7B" w:rsidRDefault="00055D7B" w:rsidP="00055D7B">
                <w:pPr>
                  <w:jc w:val="center"/>
                </w:pPr>
                <w:r>
                  <w:rPr>
                    <w:rFonts w:ascii="MS Gothic" w:eastAsia="MS Gothic" w:hAnsi="MS Gothic" w:hint="eastAsia"/>
                  </w:rPr>
                  <w:t>☐</w:t>
                </w:r>
              </w:p>
            </w:tc>
          </w:sdtContent>
        </w:sdt>
        <w:sdt>
          <w:sdtPr>
            <w:id w:val="470938398"/>
            <w14:checkbox>
              <w14:checked w14:val="0"/>
              <w14:checkedState w14:val="2612" w14:font="MS Gothic"/>
              <w14:uncheckedState w14:val="2610" w14:font="MS Gothic"/>
            </w14:checkbox>
          </w:sdtPr>
          <w:sdtContent>
            <w:tc>
              <w:tcPr>
                <w:tcW w:w="567" w:type="dxa"/>
                <w:vAlign w:val="center"/>
              </w:tcPr>
              <w:p w:rsidR="00055D7B" w:rsidRDefault="00055D7B" w:rsidP="00055D7B">
                <w:pPr>
                  <w:jc w:val="center"/>
                </w:pPr>
                <w:r>
                  <w:rPr>
                    <w:rFonts w:ascii="MS Gothic" w:eastAsia="MS Gothic" w:hAnsi="MS Gothic" w:hint="eastAsia"/>
                  </w:rPr>
                  <w:t>☐</w:t>
                </w:r>
              </w:p>
            </w:tc>
          </w:sdtContent>
        </w:sdt>
        <w:tc>
          <w:tcPr>
            <w:tcW w:w="2693" w:type="dxa"/>
            <w:vAlign w:val="center"/>
          </w:tcPr>
          <w:p w:rsidR="00055D7B" w:rsidRDefault="00055D7B" w:rsidP="00055D7B"/>
        </w:tc>
        <w:tc>
          <w:tcPr>
            <w:tcW w:w="2268" w:type="dxa"/>
          </w:tcPr>
          <w:p w:rsidR="00055D7B" w:rsidRDefault="00055D7B" w:rsidP="00055D7B"/>
        </w:tc>
      </w:tr>
      <w:tr w:rsidR="00055D7B" w:rsidRPr="00F13B67" w:rsidTr="00D2701E">
        <w:tc>
          <w:tcPr>
            <w:tcW w:w="15338" w:type="dxa"/>
            <w:gridSpan w:val="7"/>
            <w:shd w:val="clear" w:color="auto" w:fill="D9D9D9" w:themeFill="background1" w:themeFillShade="D9"/>
            <w:vAlign w:val="center"/>
          </w:tcPr>
          <w:p w:rsidR="00055D7B" w:rsidRPr="00122DED" w:rsidRDefault="00055D7B" w:rsidP="00055D7B">
            <w:pPr>
              <w:pStyle w:val="Listenabsatz"/>
              <w:ind w:left="360"/>
              <w:rPr>
                <w:b/>
              </w:rPr>
            </w:pPr>
            <w:r w:rsidRPr="00122DED">
              <w:rPr>
                <w:b/>
              </w:rPr>
              <w:t>Hygiene</w:t>
            </w:r>
            <w:r w:rsidR="003313DC">
              <w:rPr>
                <w:b/>
              </w:rPr>
              <w:t>plan</w:t>
            </w:r>
            <w:bookmarkStart w:id="0" w:name="_GoBack"/>
            <w:bookmarkEnd w:id="0"/>
          </w:p>
        </w:tc>
      </w:tr>
      <w:tr w:rsidR="00055D7B" w:rsidTr="006925C1">
        <w:trPr>
          <w:trHeight w:val="2181"/>
        </w:trPr>
        <w:tc>
          <w:tcPr>
            <w:tcW w:w="2155" w:type="dxa"/>
            <w:vAlign w:val="center"/>
          </w:tcPr>
          <w:p w:rsidR="00055D7B" w:rsidRDefault="00055D7B" w:rsidP="00055D7B">
            <w:r>
              <w:lastRenderedPageBreak/>
              <w:t>Allgemein</w:t>
            </w:r>
          </w:p>
          <w:p w:rsidR="00055D7B" w:rsidRDefault="00055D7B" w:rsidP="00055D7B">
            <w:pPr>
              <w:pStyle w:val="Listenabsatz"/>
              <w:ind w:left="0"/>
            </w:pPr>
            <w:hyperlink r:id="rId12" w:history="1">
              <w:r w:rsidRPr="00AC6CBF">
                <w:rPr>
                  <w:rStyle w:val="Hyperlink"/>
                </w:rPr>
                <w:t>Info Link</w:t>
              </w:r>
            </w:hyperlink>
          </w:p>
        </w:tc>
        <w:tc>
          <w:tcPr>
            <w:tcW w:w="6804" w:type="dxa"/>
          </w:tcPr>
          <w:p w:rsidR="00055D7B" w:rsidRDefault="00055D7B" w:rsidP="00055D7B">
            <w:pPr>
              <w:pStyle w:val="Listenabsatz"/>
              <w:numPr>
                <w:ilvl w:val="0"/>
                <w:numId w:val="11"/>
              </w:numPr>
              <w:ind w:left="313"/>
              <w:jc w:val="both"/>
            </w:pPr>
            <w:r>
              <w:t xml:space="preserve">Ein Hautschutzplan ist zu erstellen </w:t>
            </w:r>
            <w:r w:rsidRPr="006001D5">
              <w:rPr>
                <w:sz w:val="18"/>
                <w:szCs w:val="18"/>
              </w:rPr>
              <w:t xml:space="preserve">[Vorlage auf Homepage </w:t>
            </w:r>
            <w:r w:rsidR="00BD6182">
              <w:rPr>
                <w:sz w:val="18"/>
                <w:szCs w:val="18"/>
              </w:rPr>
              <w:t>Biol. Sicherheit</w:t>
            </w:r>
            <w:r w:rsidRPr="006001D5">
              <w:rPr>
                <w:sz w:val="18"/>
                <w:szCs w:val="18"/>
              </w:rPr>
              <w:t xml:space="preserve">]. </w:t>
            </w:r>
            <w:r>
              <w:t xml:space="preserve">Dieser kann Teil des Hygieneplans sein. </w:t>
            </w:r>
          </w:p>
          <w:p w:rsidR="00055D7B" w:rsidRDefault="00055D7B" w:rsidP="00055D7B">
            <w:pPr>
              <w:pStyle w:val="Listenabsatz"/>
              <w:numPr>
                <w:ilvl w:val="0"/>
                <w:numId w:val="11"/>
              </w:numPr>
              <w:ind w:left="313"/>
              <w:jc w:val="both"/>
            </w:pPr>
            <w:r>
              <w:t xml:space="preserve">Es ist ein Hygieneplan zu erstellen, der Angaben zur Desinfektion im Kontaminationsfall beinhaltet </w:t>
            </w:r>
            <w:r w:rsidRPr="006001D5">
              <w:rPr>
                <w:sz w:val="18"/>
                <w:szCs w:val="18"/>
              </w:rPr>
              <w:t>[Vorlage siehe Homepage</w:t>
            </w:r>
            <w:r w:rsidR="00BD6182">
              <w:rPr>
                <w:sz w:val="18"/>
                <w:szCs w:val="18"/>
              </w:rPr>
              <w:t xml:space="preserve"> Biol</w:t>
            </w:r>
            <w:proofErr w:type="gramStart"/>
            <w:r w:rsidR="00BD6182">
              <w:rPr>
                <w:sz w:val="18"/>
                <w:szCs w:val="18"/>
              </w:rPr>
              <w:t xml:space="preserve">. </w:t>
            </w:r>
            <w:proofErr w:type="gramEnd"/>
            <w:r w:rsidR="00BD6182">
              <w:rPr>
                <w:sz w:val="18"/>
                <w:szCs w:val="18"/>
              </w:rPr>
              <w:t>Sicherheit</w:t>
            </w:r>
            <w:r w:rsidRPr="006001D5">
              <w:rPr>
                <w:sz w:val="18"/>
                <w:szCs w:val="18"/>
              </w:rPr>
              <w:t>]</w:t>
            </w:r>
            <w:r>
              <w:t>.</w:t>
            </w:r>
          </w:p>
          <w:p w:rsidR="00055D7B" w:rsidRDefault="00055D7B" w:rsidP="00055D7B">
            <w:pPr>
              <w:pStyle w:val="Listenabsatz"/>
              <w:numPr>
                <w:ilvl w:val="0"/>
                <w:numId w:val="11"/>
              </w:numPr>
              <w:ind w:left="313"/>
              <w:jc w:val="both"/>
            </w:pPr>
            <w:r>
              <w:t>Es</w:t>
            </w:r>
            <w:r w:rsidRPr="00650E86">
              <w:t xml:space="preserve"> müssen </w:t>
            </w:r>
            <w:r>
              <w:t xml:space="preserve">wirksame (=geprüfte) und </w:t>
            </w:r>
            <w:r w:rsidRPr="00E84B87">
              <w:rPr>
                <w:u w:val="single"/>
              </w:rPr>
              <w:t>zugelassene</w:t>
            </w:r>
            <w:r w:rsidRPr="00650E86">
              <w:t xml:space="preserve"> Desinfektionsmittel </w:t>
            </w:r>
            <w:r>
              <w:t>verwendet werden (</w:t>
            </w:r>
            <w:proofErr w:type="spellStart"/>
            <w:r>
              <w:t>zB</w:t>
            </w:r>
            <w:proofErr w:type="spellEnd"/>
            <w:r>
              <w:t xml:space="preserve"> VAH Liste).</w:t>
            </w:r>
          </w:p>
          <w:p w:rsidR="00055D7B" w:rsidRPr="00EB7620" w:rsidRDefault="00055D7B" w:rsidP="00055D7B">
            <w:pPr>
              <w:pStyle w:val="Listenabsatz"/>
              <w:numPr>
                <w:ilvl w:val="0"/>
                <w:numId w:val="11"/>
              </w:numPr>
              <w:ind w:left="313"/>
              <w:jc w:val="both"/>
            </w:pPr>
            <w:r>
              <w:t xml:space="preserve">Hautschutz- und Hygieneplan müssen an geeigneter Stelle ausgehängt werden oder anderweitig </w:t>
            </w:r>
            <w:r w:rsidRPr="002310AB">
              <w:rPr>
                <w:u w:val="single"/>
              </w:rPr>
              <w:t>leicht</w:t>
            </w:r>
            <w:r>
              <w:t xml:space="preserve"> verfügbar sein.</w:t>
            </w:r>
          </w:p>
        </w:tc>
        <w:tc>
          <w:tcPr>
            <w:tcW w:w="426" w:type="dxa"/>
            <w:vAlign w:val="center"/>
          </w:tcPr>
          <w:sdt>
            <w:sdtPr>
              <w:id w:val="-1531257460"/>
              <w14:checkbox>
                <w14:checked w14:val="0"/>
                <w14:checkedState w14:val="2612" w14:font="MS Gothic"/>
                <w14:uncheckedState w14:val="2610" w14:font="MS Gothic"/>
              </w14:checkbox>
            </w:sdtPr>
            <w:sdtContent>
              <w:p w:rsidR="00055D7B" w:rsidRDefault="00055D7B" w:rsidP="00055D7B">
                <w:pPr>
                  <w:jc w:val="center"/>
                </w:pPr>
                <w:r>
                  <w:rPr>
                    <w:rFonts w:ascii="MS Gothic" w:eastAsia="MS Gothic" w:hAnsi="MS Gothic" w:hint="eastAsia"/>
                  </w:rPr>
                  <w:t>☐</w:t>
                </w:r>
              </w:p>
            </w:sdtContent>
          </w:sdt>
          <w:p w:rsidR="00055D7B" w:rsidRDefault="00055D7B" w:rsidP="00055D7B">
            <w:pPr>
              <w:jc w:val="center"/>
            </w:pPr>
          </w:p>
          <w:sdt>
            <w:sdtPr>
              <w:id w:val="1485584997"/>
              <w14:checkbox>
                <w14:checked w14:val="0"/>
                <w14:checkedState w14:val="2612" w14:font="MS Gothic"/>
                <w14:uncheckedState w14:val="2610" w14:font="MS Gothic"/>
              </w14:checkbox>
            </w:sdtPr>
            <w:sdtContent>
              <w:p w:rsidR="00055D7B" w:rsidRDefault="00055D7B" w:rsidP="00055D7B">
                <w:pPr>
                  <w:jc w:val="center"/>
                </w:pPr>
                <w:r>
                  <w:rPr>
                    <w:rFonts w:ascii="MS Gothic" w:eastAsia="MS Gothic" w:hAnsi="MS Gothic" w:hint="eastAsia"/>
                  </w:rPr>
                  <w:t>☐</w:t>
                </w:r>
              </w:p>
            </w:sdtContent>
          </w:sdt>
          <w:p w:rsidR="00055D7B" w:rsidRDefault="00055D7B" w:rsidP="00055D7B">
            <w:pPr>
              <w:jc w:val="center"/>
            </w:pPr>
          </w:p>
          <w:sdt>
            <w:sdtPr>
              <w:id w:val="-1258591446"/>
              <w14:checkbox>
                <w14:checked w14:val="0"/>
                <w14:checkedState w14:val="2612" w14:font="MS Gothic"/>
                <w14:uncheckedState w14:val="2610" w14:font="MS Gothic"/>
              </w14:checkbox>
            </w:sdtPr>
            <w:sdtContent>
              <w:p w:rsidR="00055D7B" w:rsidRDefault="00055D7B" w:rsidP="00055D7B">
                <w:pPr>
                  <w:jc w:val="center"/>
                </w:pPr>
                <w:r>
                  <w:rPr>
                    <w:rFonts w:ascii="MS Gothic" w:eastAsia="MS Gothic" w:hAnsi="MS Gothic" w:hint="eastAsia"/>
                  </w:rPr>
                  <w:t>☐</w:t>
                </w:r>
              </w:p>
            </w:sdtContent>
          </w:sdt>
          <w:p w:rsidR="00055D7B" w:rsidRDefault="00055D7B" w:rsidP="00055D7B">
            <w:pPr>
              <w:jc w:val="center"/>
            </w:pPr>
          </w:p>
          <w:sdt>
            <w:sdtPr>
              <w:id w:val="-2067337147"/>
              <w14:checkbox>
                <w14:checked w14:val="0"/>
                <w14:checkedState w14:val="2612" w14:font="MS Gothic"/>
                <w14:uncheckedState w14:val="2610" w14:font="MS Gothic"/>
              </w14:checkbox>
            </w:sdtPr>
            <w:sdtContent>
              <w:p w:rsidR="00055D7B" w:rsidRDefault="00055D7B" w:rsidP="00055D7B">
                <w:pPr>
                  <w:jc w:val="center"/>
                </w:pPr>
                <w:r>
                  <w:rPr>
                    <w:rFonts w:ascii="MS Gothic" w:eastAsia="MS Gothic" w:hAnsi="MS Gothic" w:hint="eastAsia"/>
                  </w:rPr>
                  <w:t>☐</w:t>
                </w:r>
              </w:p>
            </w:sdtContent>
          </w:sdt>
        </w:tc>
        <w:tc>
          <w:tcPr>
            <w:tcW w:w="425" w:type="dxa"/>
            <w:vAlign w:val="center"/>
          </w:tcPr>
          <w:sdt>
            <w:sdtPr>
              <w:id w:val="618496132"/>
              <w14:checkbox>
                <w14:checked w14:val="0"/>
                <w14:checkedState w14:val="2612" w14:font="MS Gothic"/>
                <w14:uncheckedState w14:val="2610" w14:font="MS Gothic"/>
              </w14:checkbox>
            </w:sdtPr>
            <w:sdtContent>
              <w:p w:rsidR="00055D7B" w:rsidRDefault="00055D7B" w:rsidP="00055D7B">
                <w:pPr>
                  <w:jc w:val="center"/>
                </w:pPr>
                <w:r>
                  <w:rPr>
                    <w:rFonts w:ascii="MS Gothic" w:eastAsia="MS Gothic" w:hAnsi="MS Gothic" w:hint="eastAsia"/>
                  </w:rPr>
                  <w:t>☐</w:t>
                </w:r>
              </w:p>
            </w:sdtContent>
          </w:sdt>
          <w:p w:rsidR="00055D7B" w:rsidRDefault="00055D7B" w:rsidP="00055D7B">
            <w:pPr>
              <w:jc w:val="center"/>
            </w:pPr>
          </w:p>
          <w:sdt>
            <w:sdtPr>
              <w:id w:val="1917357414"/>
              <w14:checkbox>
                <w14:checked w14:val="0"/>
                <w14:checkedState w14:val="2612" w14:font="MS Gothic"/>
                <w14:uncheckedState w14:val="2610" w14:font="MS Gothic"/>
              </w14:checkbox>
            </w:sdtPr>
            <w:sdtContent>
              <w:p w:rsidR="00055D7B" w:rsidRDefault="00055D7B" w:rsidP="00055D7B">
                <w:pPr>
                  <w:jc w:val="center"/>
                </w:pPr>
                <w:r>
                  <w:rPr>
                    <w:rFonts w:ascii="MS Gothic" w:eastAsia="MS Gothic" w:hAnsi="MS Gothic" w:hint="eastAsia"/>
                  </w:rPr>
                  <w:t>☐</w:t>
                </w:r>
              </w:p>
            </w:sdtContent>
          </w:sdt>
          <w:p w:rsidR="00055D7B" w:rsidRDefault="00055D7B" w:rsidP="00055D7B">
            <w:pPr>
              <w:jc w:val="center"/>
            </w:pPr>
          </w:p>
          <w:sdt>
            <w:sdtPr>
              <w:id w:val="-969284392"/>
              <w14:checkbox>
                <w14:checked w14:val="0"/>
                <w14:checkedState w14:val="2612" w14:font="MS Gothic"/>
                <w14:uncheckedState w14:val="2610" w14:font="MS Gothic"/>
              </w14:checkbox>
            </w:sdtPr>
            <w:sdtContent>
              <w:p w:rsidR="00055D7B" w:rsidRDefault="00055D7B" w:rsidP="00055D7B">
                <w:pPr>
                  <w:jc w:val="center"/>
                </w:pPr>
                <w:r>
                  <w:rPr>
                    <w:rFonts w:ascii="MS Gothic" w:eastAsia="MS Gothic" w:hAnsi="MS Gothic" w:hint="eastAsia"/>
                  </w:rPr>
                  <w:t>☐</w:t>
                </w:r>
              </w:p>
            </w:sdtContent>
          </w:sdt>
          <w:p w:rsidR="00055D7B" w:rsidRDefault="00055D7B" w:rsidP="00055D7B">
            <w:pPr>
              <w:jc w:val="center"/>
            </w:pPr>
          </w:p>
          <w:sdt>
            <w:sdtPr>
              <w:id w:val="192342702"/>
              <w14:checkbox>
                <w14:checked w14:val="0"/>
                <w14:checkedState w14:val="2612" w14:font="MS Gothic"/>
                <w14:uncheckedState w14:val="2610" w14:font="MS Gothic"/>
              </w14:checkbox>
            </w:sdtPr>
            <w:sdtContent>
              <w:p w:rsidR="00055D7B" w:rsidRDefault="00055D7B" w:rsidP="00055D7B">
                <w:pPr>
                  <w:jc w:val="center"/>
                </w:pPr>
                <w:r>
                  <w:rPr>
                    <w:rFonts w:ascii="MS Gothic" w:eastAsia="MS Gothic" w:hAnsi="MS Gothic" w:hint="eastAsia"/>
                  </w:rPr>
                  <w:t>☐</w:t>
                </w:r>
              </w:p>
            </w:sdtContent>
          </w:sdt>
        </w:tc>
        <w:tc>
          <w:tcPr>
            <w:tcW w:w="567" w:type="dxa"/>
            <w:vAlign w:val="center"/>
          </w:tcPr>
          <w:sdt>
            <w:sdtPr>
              <w:id w:val="-1855952932"/>
              <w14:checkbox>
                <w14:checked w14:val="0"/>
                <w14:checkedState w14:val="2612" w14:font="MS Gothic"/>
                <w14:uncheckedState w14:val="2610" w14:font="MS Gothic"/>
              </w14:checkbox>
            </w:sdtPr>
            <w:sdtContent>
              <w:p w:rsidR="00055D7B" w:rsidRDefault="00055D7B" w:rsidP="00055D7B">
                <w:pPr>
                  <w:jc w:val="center"/>
                </w:pPr>
                <w:r>
                  <w:rPr>
                    <w:rFonts w:ascii="MS Gothic" w:eastAsia="MS Gothic" w:hAnsi="MS Gothic" w:hint="eastAsia"/>
                  </w:rPr>
                  <w:t>☐</w:t>
                </w:r>
              </w:p>
            </w:sdtContent>
          </w:sdt>
          <w:p w:rsidR="00055D7B" w:rsidRDefault="00055D7B" w:rsidP="00055D7B">
            <w:pPr>
              <w:jc w:val="center"/>
            </w:pPr>
          </w:p>
          <w:sdt>
            <w:sdtPr>
              <w:id w:val="-1472287738"/>
              <w14:checkbox>
                <w14:checked w14:val="0"/>
                <w14:checkedState w14:val="2612" w14:font="MS Gothic"/>
                <w14:uncheckedState w14:val="2610" w14:font="MS Gothic"/>
              </w14:checkbox>
            </w:sdtPr>
            <w:sdtContent>
              <w:p w:rsidR="00055D7B" w:rsidRDefault="00055D7B" w:rsidP="00055D7B">
                <w:pPr>
                  <w:jc w:val="center"/>
                </w:pPr>
                <w:r>
                  <w:rPr>
                    <w:rFonts w:ascii="MS Gothic" w:eastAsia="MS Gothic" w:hAnsi="MS Gothic" w:hint="eastAsia"/>
                  </w:rPr>
                  <w:t>☐</w:t>
                </w:r>
              </w:p>
            </w:sdtContent>
          </w:sdt>
          <w:p w:rsidR="00055D7B" w:rsidRDefault="00055D7B" w:rsidP="00055D7B">
            <w:pPr>
              <w:jc w:val="center"/>
            </w:pPr>
          </w:p>
          <w:sdt>
            <w:sdtPr>
              <w:id w:val="-1863044559"/>
              <w14:checkbox>
                <w14:checked w14:val="0"/>
                <w14:checkedState w14:val="2612" w14:font="MS Gothic"/>
                <w14:uncheckedState w14:val="2610" w14:font="MS Gothic"/>
              </w14:checkbox>
            </w:sdtPr>
            <w:sdtContent>
              <w:p w:rsidR="00055D7B" w:rsidRDefault="00055D7B" w:rsidP="00055D7B">
                <w:pPr>
                  <w:jc w:val="center"/>
                </w:pPr>
                <w:r>
                  <w:rPr>
                    <w:rFonts w:ascii="MS Gothic" w:eastAsia="MS Gothic" w:hAnsi="MS Gothic" w:hint="eastAsia"/>
                  </w:rPr>
                  <w:t>☐</w:t>
                </w:r>
              </w:p>
            </w:sdtContent>
          </w:sdt>
          <w:p w:rsidR="00055D7B" w:rsidRDefault="00055D7B" w:rsidP="00055D7B">
            <w:pPr>
              <w:jc w:val="center"/>
            </w:pPr>
          </w:p>
          <w:sdt>
            <w:sdtPr>
              <w:id w:val="-2067395844"/>
              <w14:checkbox>
                <w14:checked w14:val="0"/>
                <w14:checkedState w14:val="2612" w14:font="MS Gothic"/>
                <w14:uncheckedState w14:val="2610" w14:font="MS Gothic"/>
              </w14:checkbox>
            </w:sdtPr>
            <w:sdtContent>
              <w:p w:rsidR="00055D7B" w:rsidRDefault="00055D7B" w:rsidP="00055D7B">
                <w:pPr>
                  <w:jc w:val="center"/>
                </w:pPr>
                <w:r>
                  <w:rPr>
                    <w:rFonts w:ascii="MS Gothic" w:eastAsia="MS Gothic" w:hAnsi="MS Gothic" w:hint="eastAsia"/>
                  </w:rPr>
                  <w:t>☐</w:t>
                </w:r>
              </w:p>
            </w:sdtContent>
          </w:sdt>
        </w:tc>
        <w:tc>
          <w:tcPr>
            <w:tcW w:w="2693" w:type="dxa"/>
            <w:vAlign w:val="center"/>
          </w:tcPr>
          <w:p w:rsidR="00055D7B" w:rsidRDefault="00055D7B" w:rsidP="00055D7B"/>
        </w:tc>
        <w:tc>
          <w:tcPr>
            <w:tcW w:w="2268" w:type="dxa"/>
          </w:tcPr>
          <w:p w:rsidR="00055D7B" w:rsidRDefault="00055D7B" w:rsidP="00055D7B"/>
        </w:tc>
      </w:tr>
      <w:tr w:rsidR="00055D7B" w:rsidRPr="00F13B67" w:rsidTr="00D2701E">
        <w:tc>
          <w:tcPr>
            <w:tcW w:w="15338" w:type="dxa"/>
            <w:gridSpan w:val="7"/>
            <w:tcBorders>
              <w:top w:val="single" w:sz="4" w:space="0" w:color="auto"/>
            </w:tcBorders>
            <w:shd w:val="clear" w:color="auto" w:fill="D9D9D9" w:themeFill="background1" w:themeFillShade="D9"/>
            <w:vAlign w:val="center"/>
          </w:tcPr>
          <w:p w:rsidR="00055D7B" w:rsidRPr="006925C1" w:rsidRDefault="00055D7B" w:rsidP="00055D7B">
            <w:pPr>
              <w:rPr>
                <w:b/>
              </w:rPr>
            </w:pPr>
            <w:r w:rsidRPr="006925C1">
              <w:rPr>
                <w:b/>
              </w:rPr>
              <w:t>Persönliche Sicherheitsmaßnahmen</w:t>
            </w:r>
          </w:p>
        </w:tc>
      </w:tr>
      <w:tr w:rsidR="00055D7B" w:rsidTr="006925C1">
        <w:trPr>
          <w:trHeight w:val="360"/>
        </w:trPr>
        <w:tc>
          <w:tcPr>
            <w:tcW w:w="2155" w:type="dxa"/>
            <w:vMerge w:val="restart"/>
            <w:vAlign w:val="center"/>
          </w:tcPr>
          <w:p w:rsidR="00055D7B" w:rsidRDefault="00055D7B" w:rsidP="00055D7B">
            <w:pPr>
              <w:ind w:left="33"/>
            </w:pPr>
            <w:r>
              <w:t>Schutzausrüstung</w:t>
            </w:r>
          </w:p>
        </w:tc>
        <w:tc>
          <w:tcPr>
            <w:tcW w:w="6804" w:type="dxa"/>
            <w:vMerge w:val="restart"/>
          </w:tcPr>
          <w:p w:rsidR="00055D7B" w:rsidRDefault="00055D7B" w:rsidP="00055D7B">
            <w:pPr>
              <w:pStyle w:val="Listenabsatz"/>
              <w:numPr>
                <w:ilvl w:val="0"/>
                <w:numId w:val="9"/>
              </w:numPr>
              <w:ind w:left="321"/>
              <w:jc w:val="both"/>
            </w:pPr>
            <w:r>
              <w:t>Keine Straßenkleidung und Taschen in Laboren</w:t>
            </w:r>
          </w:p>
          <w:p w:rsidR="00055D7B" w:rsidRDefault="00055D7B" w:rsidP="00055D7B">
            <w:pPr>
              <w:pStyle w:val="Listenabsatz"/>
              <w:numPr>
                <w:ilvl w:val="0"/>
                <w:numId w:val="9"/>
              </w:numPr>
              <w:ind w:left="321"/>
              <w:jc w:val="both"/>
            </w:pPr>
            <w:r w:rsidRPr="00D45A82">
              <w:t>In Arbeitsräumen sind Laborkittel oder andere Schutzkleidung zu tragen</w:t>
            </w:r>
            <w:r>
              <w:t>. Schuhe müssen geschlossen sein. Andere Schutzkleidung wie Schutzhandschuhe oder –</w:t>
            </w:r>
            <w:proofErr w:type="spellStart"/>
            <w:r>
              <w:t>brille</w:t>
            </w:r>
            <w:proofErr w:type="spellEnd"/>
            <w:r>
              <w:t xml:space="preserve"> bei Bedarf. </w:t>
            </w:r>
          </w:p>
          <w:p w:rsidR="00055D7B" w:rsidRPr="00EB7620" w:rsidRDefault="00055D7B" w:rsidP="00055D7B">
            <w:pPr>
              <w:pStyle w:val="Listenabsatz"/>
              <w:numPr>
                <w:ilvl w:val="0"/>
                <w:numId w:val="9"/>
              </w:numPr>
              <w:ind w:left="321"/>
              <w:jc w:val="both"/>
            </w:pPr>
            <w:r w:rsidRPr="00D45A82">
              <w:t xml:space="preserve">Benutzte Laborkittel getrennt von </w:t>
            </w:r>
            <w:r>
              <w:t>Straßenkleidung auf</w:t>
            </w:r>
            <w:r w:rsidRPr="00D45A82">
              <w:t>bewahren.</w:t>
            </w:r>
          </w:p>
        </w:tc>
        <w:tc>
          <w:tcPr>
            <w:tcW w:w="426" w:type="dxa"/>
            <w:vAlign w:val="center"/>
          </w:tcPr>
          <w:p w:rsidR="00055D7B" w:rsidRDefault="00055D7B" w:rsidP="00055D7B">
            <w:pPr>
              <w:jc w:val="center"/>
            </w:pPr>
            <w:sdt>
              <w:sdtPr>
                <w:id w:val="-1216651682"/>
                <w14:checkbox>
                  <w14:checked w14:val="0"/>
                  <w14:checkedState w14:val="2612" w14:font="MS Gothic"/>
                  <w14:uncheckedState w14:val="2610" w14:font="MS Gothic"/>
                </w14:checkbox>
              </w:sdtPr>
              <w:sdtContent>
                <w:r>
                  <w:rPr>
                    <w:rFonts w:ascii="MS Gothic" w:eastAsia="MS Gothic" w:hAnsi="MS Gothic" w:hint="eastAsia"/>
                  </w:rPr>
                  <w:t>☐</w:t>
                </w:r>
              </w:sdtContent>
            </w:sdt>
          </w:p>
        </w:tc>
        <w:sdt>
          <w:sdtPr>
            <w:id w:val="2035377497"/>
            <w14:checkbox>
              <w14:checked w14:val="0"/>
              <w14:checkedState w14:val="2612" w14:font="MS Gothic"/>
              <w14:uncheckedState w14:val="2610" w14:font="MS Gothic"/>
            </w14:checkbox>
          </w:sdtPr>
          <w:sdtContent>
            <w:tc>
              <w:tcPr>
                <w:tcW w:w="425" w:type="dxa"/>
                <w:vAlign w:val="center"/>
              </w:tcPr>
              <w:p w:rsidR="00055D7B" w:rsidRDefault="00055D7B" w:rsidP="00055D7B">
                <w:pPr>
                  <w:jc w:val="center"/>
                </w:pPr>
                <w:r>
                  <w:rPr>
                    <w:rFonts w:ascii="MS Gothic" w:eastAsia="MS Gothic" w:hAnsi="MS Gothic" w:hint="eastAsia"/>
                  </w:rPr>
                  <w:t>☐</w:t>
                </w:r>
              </w:p>
            </w:tc>
          </w:sdtContent>
        </w:sdt>
        <w:sdt>
          <w:sdtPr>
            <w:id w:val="1365634704"/>
            <w14:checkbox>
              <w14:checked w14:val="0"/>
              <w14:checkedState w14:val="2612" w14:font="MS Gothic"/>
              <w14:uncheckedState w14:val="2610" w14:font="MS Gothic"/>
            </w14:checkbox>
          </w:sdtPr>
          <w:sdtContent>
            <w:tc>
              <w:tcPr>
                <w:tcW w:w="567" w:type="dxa"/>
                <w:vAlign w:val="center"/>
              </w:tcPr>
              <w:p w:rsidR="00055D7B" w:rsidRDefault="00055D7B" w:rsidP="00055D7B">
                <w:pPr>
                  <w:jc w:val="center"/>
                </w:pPr>
                <w:r>
                  <w:rPr>
                    <w:rFonts w:ascii="MS Gothic" w:eastAsia="MS Gothic" w:hAnsi="MS Gothic" w:hint="eastAsia"/>
                  </w:rPr>
                  <w:t>☐</w:t>
                </w:r>
              </w:p>
            </w:tc>
          </w:sdtContent>
        </w:sdt>
        <w:tc>
          <w:tcPr>
            <w:tcW w:w="2693" w:type="dxa"/>
            <w:vMerge w:val="restart"/>
            <w:vAlign w:val="center"/>
          </w:tcPr>
          <w:p w:rsidR="00055D7B" w:rsidRDefault="00055D7B" w:rsidP="00055D7B"/>
        </w:tc>
        <w:tc>
          <w:tcPr>
            <w:tcW w:w="2268" w:type="dxa"/>
            <w:vMerge w:val="restart"/>
          </w:tcPr>
          <w:p w:rsidR="00055D7B" w:rsidRDefault="00055D7B" w:rsidP="00055D7B"/>
        </w:tc>
      </w:tr>
      <w:tr w:rsidR="00055D7B" w:rsidTr="006925C1">
        <w:trPr>
          <w:trHeight w:val="360"/>
        </w:trPr>
        <w:tc>
          <w:tcPr>
            <w:tcW w:w="2155" w:type="dxa"/>
            <w:vMerge/>
            <w:vAlign w:val="center"/>
          </w:tcPr>
          <w:p w:rsidR="00055D7B" w:rsidRDefault="00055D7B" w:rsidP="00055D7B">
            <w:pPr>
              <w:pStyle w:val="Listenabsatz"/>
              <w:numPr>
                <w:ilvl w:val="1"/>
                <w:numId w:val="34"/>
              </w:numPr>
              <w:ind w:left="465"/>
            </w:pPr>
          </w:p>
        </w:tc>
        <w:tc>
          <w:tcPr>
            <w:tcW w:w="6804" w:type="dxa"/>
            <w:vMerge/>
          </w:tcPr>
          <w:p w:rsidR="00055D7B" w:rsidRDefault="00055D7B" w:rsidP="00055D7B">
            <w:pPr>
              <w:pStyle w:val="Listenabsatz"/>
              <w:numPr>
                <w:ilvl w:val="0"/>
                <w:numId w:val="9"/>
              </w:numPr>
              <w:ind w:left="321"/>
              <w:jc w:val="both"/>
            </w:pPr>
          </w:p>
        </w:tc>
        <w:sdt>
          <w:sdtPr>
            <w:id w:val="-2052517866"/>
            <w14:checkbox>
              <w14:checked w14:val="0"/>
              <w14:checkedState w14:val="2612" w14:font="MS Gothic"/>
              <w14:uncheckedState w14:val="2610" w14:font="MS Gothic"/>
            </w14:checkbox>
          </w:sdtPr>
          <w:sdtContent>
            <w:tc>
              <w:tcPr>
                <w:tcW w:w="426" w:type="dxa"/>
                <w:vAlign w:val="center"/>
              </w:tcPr>
              <w:p w:rsidR="00055D7B" w:rsidRDefault="00055D7B" w:rsidP="00055D7B">
                <w:pPr>
                  <w:jc w:val="center"/>
                </w:pPr>
                <w:r>
                  <w:rPr>
                    <w:rFonts w:ascii="MS Gothic" w:eastAsia="MS Gothic" w:hAnsi="MS Gothic" w:hint="eastAsia"/>
                  </w:rPr>
                  <w:t>☐</w:t>
                </w:r>
              </w:p>
            </w:tc>
          </w:sdtContent>
        </w:sdt>
        <w:sdt>
          <w:sdtPr>
            <w:id w:val="1921524121"/>
            <w14:checkbox>
              <w14:checked w14:val="0"/>
              <w14:checkedState w14:val="2612" w14:font="MS Gothic"/>
              <w14:uncheckedState w14:val="2610" w14:font="MS Gothic"/>
            </w14:checkbox>
          </w:sdtPr>
          <w:sdtContent>
            <w:tc>
              <w:tcPr>
                <w:tcW w:w="425" w:type="dxa"/>
                <w:vAlign w:val="center"/>
              </w:tcPr>
              <w:p w:rsidR="00055D7B" w:rsidRDefault="00055D7B" w:rsidP="00055D7B">
                <w:pPr>
                  <w:jc w:val="center"/>
                </w:pPr>
                <w:r>
                  <w:rPr>
                    <w:rFonts w:ascii="MS Gothic" w:eastAsia="MS Gothic" w:hAnsi="MS Gothic" w:hint="eastAsia"/>
                  </w:rPr>
                  <w:t>☐</w:t>
                </w:r>
              </w:p>
            </w:tc>
          </w:sdtContent>
        </w:sdt>
        <w:sdt>
          <w:sdtPr>
            <w:id w:val="784400423"/>
            <w14:checkbox>
              <w14:checked w14:val="0"/>
              <w14:checkedState w14:val="2612" w14:font="MS Gothic"/>
              <w14:uncheckedState w14:val="2610" w14:font="MS Gothic"/>
            </w14:checkbox>
          </w:sdtPr>
          <w:sdtContent>
            <w:tc>
              <w:tcPr>
                <w:tcW w:w="567" w:type="dxa"/>
                <w:vAlign w:val="center"/>
              </w:tcPr>
              <w:p w:rsidR="00055D7B" w:rsidRDefault="00055D7B" w:rsidP="00055D7B">
                <w:pPr>
                  <w:jc w:val="center"/>
                </w:pPr>
                <w:r>
                  <w:rPr>
                    <w:rFonts w:ascii="MS Gothic" w:eastAsia="MS Gothic" w:hAnsi="MS Gothic" w:hint="eastAsia"/>
                  </w:rPr>
                  <w:t>☐</w:t>
                </w:r>
              </w:p>
            </w:tc>
          </w:sdtContent>
        </w:sdt>
        <w:tc>
          <w:tcPr>
            <w:tcW w:w="2693" w:type="dxa"/>
            <w:vMerge/>
            <w:vAlign w:val="center"/>
          </w:tcPr>
          <w:p w:rsidR="00055D7B" w:rsidRDefault="00055D7B" w:rsidP="00055D7B"/>
        </w:tc>
        <w:tc>
          <w:tcPr>
            <w:tcW w:w="2268" w:type="dxa"/>
            <w:vMerge/>
          </w:tcPr>
          <w:p w:rsidR="00055D7B" w:rsidRDefault="00055D7B" w:rsidP="00055D7B"/>
        </w:tc>
      </w:tr>
      <w:tr w:rsidR="00055D7B" w:rsidTr="006925C1">
        <w:trPr>
          <w:trHeight w:val="360"/>
        </w:trPr>
        <w:tc>
          <w:tcPr>
            <w:tcW w:w="2155" w:type="dxa"/>
            <w:vMerge/>
            <w:vAlign w:val="center"/>
          </w:tcPr>
          <w:p w:rsidR="00055D7B" w:rsidRDefault="00055D7B" w:rsidP="00055D7B">
            <w:pPr>
              <w:pStyle w:val="Listenabsatz"/>
              <w:numPr>
                <w:ilvl w:val="1"/>
                <w:numId w:val="34"/>
              </w:numPr>
              <w:ind w:left="465"/>
            </w:pPr>
          </w:p>
        </w:tc>
        <w:tc>
          <w:tcPr>
            <w:tcW w:w="6804" w:type="dxa"/>
            <w:vMerge/>
          </w:tcPr>
          <w:p w:rsidR="00055D7B" w:rsidRDefault="00055D7B" w:rsidP="00055D7B">
            <w:pPr>
              <w:pStyle w:val="Listenabsatz"/>
              <w:numPr>
                <w:ilvl w:val="0"/>
                <w:numId w:val="9"/>
              </w:numPr>
              <w:ind w:left="321"/>
              <w:jc w:val="both"/>
            </w:pPr>
          </w:p>
        </w:tc>
        <w:sdt>
          <w:sdtPr>
            <w:id w:val="140936066"/>
            <w14:checkbox>
              <w14:checked w14:val="0"/>
              <w14:checkedState w14:val="2612" w14:font="MS Gothic"/>
              <w14:uncheckedState w14:val="2610" w14:font="MS Gothic"/>
            </w14:checkbox>
          </w:sdtPr>
          <w:sdtContent>
            <w:tc>
              <w:tcPr>
                <w:tcW w:w="426" w:type="dxa"/>
                <w:vAlign w:val="center"/>
              </w:tcPr>
              <w:p w:rsidR="00055D7B" w:rsidRDefault="00055D7B" w:rsidP="00055D7B">
                <w:pPr>
                  <w:jc w:val="center"/>
                </w:pPr>
                <w:r>
                  <w:rPr>
                    <w:rFonts w:ascii="MS Gothic" w:eastAsia="MS Gothic" w:hAnsi="MS Gothic" w:hint="eastAsia"/>
                  </w:rPr>
                  <w:t>☐</w:t>
                </w:r>
              </w:p>
            </w:tc>
          </w:sdtContent>
        </w:sdt>
        <w:sdt>
          <w:sdtPr>
            <w:id w:val="2103989036"/>
            <w14:checkbox>
              <w14:checked w14:val="0"/>
              <w14:checkedState w14:val="2612" w14:font="MS Gothic"/>
              <w14:uncheckedState w14:val="2610" w14:font="MS Gothic"/>
            </w14:checkbox>
          </w:sdtPr>
          <w:sdtContent>
            <w:tc>
              <w:tcPr>
                <w:tcW w:w="425" w:type="dxa"/>
                <w:vAlign w:val="center"/>
              </w:tcPr>
              <w:p w:rsidR="00055D7B" w:rsidRDefault="00055D7B" w:rsidP="00055D7B">
                <w:pPr>
                  <w:jc w:val="center"/>
                </w:pPr>
                <w:r>
                  <w:rPr>
                    <w:rFonts w:ascii="MS Gothic" w:eastAsia="MS Gothic" w:hAnsi="MS Gothic" w:hint="eastAsia"/>
                  </w:rPr>
                  <w:t>☐</w:t>
                </w:r>
              </w:p>
            </w:tc>
          </w:sdtContent>
        </w:sdt>
        <w:sdt>
          <w:sdtPr>
            <w:id w:val="331959173"/>
            <w14:checkbox>
              <w14:checked w14:val="0"/>
              <w14:checkedState w14:val="2612" w14:font="MS Gothic"/>
              <w14:uncheckedState w14:val="2610" w14:font="MS Gothic"/>
            </w14:checkbox>
          </w:sdtPr>
          <w:sdtContent>
            <w:tc>
              <w:tcPr>
                <w:tcW w:w="567" w:type="dxa"/>
                <w:vAlign w:val="center"/>
              </w:tcPr>
              <w:p w:rsidR="00055D7B" w:rsidRDefault="00055D7B" w:rsidP="00055D7B">
                <w:pPr>
                  <w:jc w:val="center"/>
                </w:pPr>
                <w:r>
                  <w:rPr>
                    <w:rFonts w:ascii="MS Gothic" w:eastAsia="MS Gothic" w:hAnsi="MS Gothic" w:hint="eastAsia"/>
                  </w:rPr>
                  <w:t>☐</w:t>
                </w:r>
              </w:p>
            </w:tc>
          </w:sdtContent>
        </w:sdt>
        <w:tc>
          <w:tcPr>
            <w:tcW w:w="2693" w:type="dxa"/>
            <w:vMerge/>
            <w:vAlign w:val="center"/>
          </w:tcPr>
          <w:p w:rsidR="00055D7B" w:rsidRDefault="00055D7B" w:rsidP="00055D7B"/>
        </w:tc>
        <w:tc>
          <w:tcPr>
            <w:tcW w:w="2268" w:type="dxa"/>
            <w:vMerge/>
          </w:tcPr>
          <w:p w:rsidR="00055D7B" w:rsidRDefault="00055D7B" w:rsidP="00055D7B"/>
        </w:tc>
      </w:tr>
      <w:tr w:rsidR="00055D7B" w:rsidTr="006925C1">
        <w:tc>
          <w:tcPr>
            <w:tcW w:w="2155" w:type="dxa"/>
            <w:vAlign w:val="center"/>
          </w:tcPr>
          <w:p w:rsidR="00055D7B" w:rsidRDefault="00055D7B" w:rsidP="00055D7B">
            <w:pPr>
              <w:ind w:left="33"/>
            </w:pPr>
            <w:r>
              <w:t>Verletzungen</w:t>
            </w:r>
          </w:p>
        </w:tc>
        <w:tc>
          <w:tcPr>
            <w:tcW w:w="6804" w:type="dxa"/>
          </w:tcPr>
          <w:p w:rsidR="00055D7B" w:rsidRPr="00EB7620" w:rsidRDefault="00055D7B" w:rsidP="00055D7B">
            <w:pPr>
              <w:jc w:val="both"/>
            </w:pPr>
            <w:r>
              <w:t>Sind sofort dem Projektleiter zu melden und im Verbandbuch zu dokumentieren.</w:t>
            </w:r>
          </w:p>
        </w:tc>
        <w:sdt>
          <w:sdtPr>
            <w:id w:val="1547262224"/>
            <w14:checkbox>
              <w14:checked w14:val="0"/>
              <w14:checkedState w14:val="2612" w14:font="MS Gothic"/>
              <w14:uncheckedState w14:val="2610" w14:font="MS Gothic"/>
            </w14:checkbox>
          </w:sdtPr>
          <w:sdtContent>
            <w:tc>
              <w:tcPr>
                <w:tcW w:w="426" w:type="dxa"/>
                <w:vAlign w:val="center"/>
              </w:tcPr>
              <w:p w:rsidR="00055D7B" w:rsidRDefault="00055D7B" w:rsidP="00055D7B">
                <w:pPr>
                  <w:jc w:val="center"/>
                </w:pPr>
                <w:r>
                  <w:rPr>
                    <w:rFonts w:ascii="MS Gothic" w:eastAsia="MS Gothic" w:hAnsi="MS Gothic" w:hint="eastAsia"/>
                  </w:rPr>
                  <w:t>☐</w:t>
                </w:r>
              </w:p>
            </w:tc>
          </w:sdtContent>
        </w:sdt>
        <w:sdt>
          <w:sdtPr>
            <w:id w:val="1618417185"/>
            <w14:checkbox>
              <w14:checked w14:val="0"/>
              <w14:checkedState w14:val="2612" w14:font="MS Gothic"/>
              <w14:uncheckedState w14:val="2610" w14:font="MS Gothic"/>
            </w14:checkbox>
          </w:sdtPr>
          <w:sdtContent>
            <w:tc>
              <w:tcPr>
                <w:tcW w:w="425" w:type="dxa"/>
                <w:vAlign w:val="center"/>
              </w:tcPr>
              <w:p w:rsidR="00055D7B" w:rsidRDefault="00055D7B" w:rsidP="00055D7B">
                <w:pPr>
                  <w:jc w:val="center"/>
                </w:pPr>
                <w:r>
                  <w:rPr>
                    <w:rFonts w:ascii="MS Gothic" w:eastAsia="MS Gothic" w:hAnsi="MS Gothic" w:hint="eastAsia"/>
                  </w:rPr>
                  <w:t>☐</w:t>
                </w:r>
              </w:p>
            </w:tc>
          </w:sdtContent>
        </w:sdt>
        <w:sdt>
          <w:sdtPr>
            <w:id w:val="1202284074"/>
            <w14:checkbox>
              <w14:checked w14:val="0"/>
              <w14:checkedState w14:val="2612" w14:font="MS Gothic"/>
              <w14:uncheckedState w14:val="2610" w14:font="MS Gothic"/>
            </w14:checkbox>
          </w:sdtPr>
          <w:sdtContent>
            <w:tc>
              <w:tcPr>
                <w:tcW w:w="567" w:type="dxa"/>
                <w:vAlign w:val="center"/>
              </w:tcPr>
              <w:p w:rsidR="00055D7B" w:rsidRDefault="00055D7B" w:rsidP="00055D7B">
                <w:pPr>
                  <w:jc w:val="center"/>
                </w:pPr>
                <w:r>
                  <w:rPr>
                    <w:rFonts w:ascii="MS Gothic" w:eastAsia="MS Gothic" w:hAnsi="MS Gothic" w:hint="eastAsia"/>
                  </w:rPr>
                  <w:t>☐</w:t>
                </w:r>
              </w:p>
            </w:tc>
          </w:sdtContent>
        </w:sdt>
        <w:tc>
          <w:tcPr>
            <w:tcW w:w="2693" w:type="dxa"/>
            <w:vAlign w:val="center"/>
          </w:tcPr>
          <w:p w:rsidR="00055D7B" w:rsidRDefault="00055D7B" w:rsidP="00055D7B"/>
        </w:tc>
        <w:tc>
          <w:tcPr>
            <w:tcW w:w="2268" w:type="dxa"/>
          </w:tcPr>
          <w:p w:rsidR="00055D7B" w:rsidRDefault="00055D7B" w:rsidP="00055D7B"/>
        </w:tc>
      </w:tr>
    </w:tbl>
    <w:p w:rsidR="007D7305" w:rsidRPr="007D7305" w:rsidRDefault="001D00C9" w:rsidP="007D7305">
      <w:r>
        <w:t>Hilfreiche Kommentare u. Ergänzungen sind in eckigen Klammern gefasst.</w:t>
      </w:r>
    </w:p>
    <w:p w:rsidR="007D7305" w:rsidRPr="007D7305" w:rsidRDefault="007D7305" w:rsidP="007D7305"/>
    <w:p w:rsidR="007D7305" w:rsidRPr="007D7305" w:rsidRDefault="007D7305" w:rsidP="007D7305"/>
    <w:p w:rsidR="001D00C9" w:rsidRPr="007D7305" w:rsidRDefault="001D00C9" w:rsidP="007D7305">
      <w:pPr>
        <w:jc w:val="center"/>
      </w:pPr>
    </w:p>
    <w:sectPr w:rsidR="001D00C9" w:rsidRPr="007D7305" w:rsidSect="00945B29">
      <w:headerReference w:type="default" r:id="rId13"/>
      <w:footerReference w:type="default" r:id="rId14"/>
      <w:pgSz w:w="16838" w:h="11906" w:orient="landscape"/>
      <w:pgMar w:top="1021" w:right="1418" w:bottom="102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158E" w:rsidRDefault="0099158E" w:rsidP="00E727E2">
      <w:pPr>
        <w:spacing w:after="0" w:line="240" w:lineRule="auto"/>
      </w:pPr>
      <w:r>
        <w:separator/>
      </w:r>
    </w:p>
  </w:endnote>
  <w:endnote w:type="continuationSeparator" w:id="0">
    <w:p w:rsidR="0099158E" w:rsidRDefault="0099158E" w:rsidP="00E727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News Gothic MT">
    <w:altName w:val="Arial"/>
    <w:charset w:val="00"/>
    <w:family w:val="swiss"/>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495" w:type="pct"/>
      <w:tblInd w:w="-497" w:type="dxa"/>
      <w:tblCellMar>
        <w:left w:w="70" w:type="dxa"/>
        <w:right w:w="70" w:type="dxa"/>
      </w:tblCellMar>
      <w:tblLook w:val="0000" w:firstRow="0" w:lastRow="0" w:firstColumn="0" w:lastColumn="0" w:noHBand="0" w:noVBand="0"/>
    </w:tblPr>
    <w:tblGrid>
      <w:gridCol w:w="2948"/>
      <w:gridCol w:w="3081"/>
      <w:gridCol w:w="9359"/>
    </w:tblGrid>
    <w:tr w:rsidR="00D76FDF" w:rsidTr="00D76FDF">
      <w:tc>
        <w:tcPr>
          <w:tcW w:w="958" w:type="pct"/>
        </w:tcPr>
        <w:p w:rsidR="00D76FDF" w:rsidRPr="008A4C40" w:rsidRDefault="00D76FDF" w:rsidP="007D7305">
          <w:pPr>
            <w:pStyle w:val="Fuzeile"/>
            <w:widowControl w:val="0"/>
            <w:rPr>
              <w:rFonts w:ascii="Arial" w:hAnsi="Arial" w:cs="Arial"/>
              <w:lang w:val="en-US"/>
            </w:rPr>
          </w:pPr>
          <w:r>
            <w:rPr>
              <w:rFonts w:ascii="Arial" w:hAnsi="Arial" w:cs="Arial"/>
            </w:rPr>
            <w:t xml:space="preserve">Datum: </w:t>
          </w:r>
        </w:p>
      </w:tc>
      <w:tc>
        <w:tcPr>
          <w:tcW w:w="1001" w:type="pct"/>
        </w:tcPr>
        <w:p w:rsidR="00D76FDF" w:rsidRDefault="00D76FDF" w:rsidP="002310AB">
          <w:pPr>
            <w:pStyle w:val="Fuzeile"/>
            <w:widowControl w:val="0"/>
            <w:rPr>
              <w:rFonts w:ascii="Arial" w:hAnsi="Arial" w:cs="Arial"/>
            </w:rPr>
          </w:pPr>
          <w:r>
            <w:rPr>
              <w:rFonts w:ascii="Arial" w:hAnsi="Arial" w:cs="Arial"/>
            </w:rPr>
            <w:t>Anlass Überprüfung:</w:t>
          </w:r>
        </w:p>
      </w:tc>
      <w:tc>
        <w:tcPr>
          <w:tcW w:w="3041" w:type="pct"/>
        </w:tcPr>
        <w:p w:rsidR="00D76FDF" w:rsidRDefault="00D76FDF" w:rsidP="002310AB">
          <w:pPr>
            <w:pStyle w:val="Fuzeile"/>
            <w:widowControl w:val="0"/>
            <w:rPr>
              <w:rFonts w:ascii="Arial" w:hAnsi="Arial" w:cs="Arial"/>
            </w:rPr>
          </w:pPr>
        </w:p>
      </w:tc>
    </w:tr>
    <w:tr w:rsidR="00D76FDF" w:rsidTr="00D76FDF">
      <w:tc>
        <w:tcPr>
          <w:tcW w:w="958" w:type="pct"/>
        </w:tcPr>
        <w:p w:rsidR="00D76FDF" w:rsidRPr="00D907C4" w:rsidRDefault="00D76FDF" w:rsidP="007D7305">
          <w:pPr>
            <w:pStyle w:val="Fuzeile"/>
            <w:widowControl w:val="0"/>
            <w:rPr>
              <w:rFonts w:ascii="Arial" w:hAnsi="Arial" w:cs="Arial"/>
            </w:rPr>
          </w:pPr>
          <w:r w:rsidRPr="00F161FF">
            <w:rPr>
              <w:rFonts w:ascii="Arial" w:hAnsi="Arial" w:cs="Arial"/>
            </w:rPr>
            <w:t>Erstellt</w:t>
          </w:r>
          <w:r w:rsidRPr="00D907C4">
            <w:rPr>
              <w:rFonts w:ascii="Arial" w:hAnsi="Arial" w:cs="Arial"/>
            </w:rPr>
            <w:t xml:space="preserve"> von: </w:t>
          </w:r>
        </w:p>
      </w:tc>
      <w:tc>
        <w:tcPr>
          <w:tcW w:w="1001" w:type="pct"/>
        </w:tcPr>
        <w:p w:rsidR="00D76FDF" w:rsidRDefault="00D76FDF" w:rsidP="00A447F8">
          <w:pPr>
            <w:pStyle w:val="Fuzeile"/>
            <w:widowControl w:val="0"/>
            <w:rPr>
              <w:rFonts w:ascii="Arial" w:hAnsi="Arial" w:cs="Arial"/>
            </w:rPr>
          </w:pPr>
          <w:r>
            <w:rPr>
              <w:rFonts w:ascii="Arial" w:hAnsi="Arial" w:cs="Arial"/>
            </w:rPr>
            <w:t>Anwesend (Name, Funktion):</w:t>
          </w:r>
        </w:p>
      </w:tc>
      <w:tc>
        <w:tcPr>
          <w:tcW w:w="3041" w:type="pct"/>
        </w:tcPr>
        <w:p w:rsidR="00D76FDF" w:rsidRPr="00A447F8" w:rsidRDefault="00D76FDF" w:rsidP="00A447F8">
          <w:pPr>
            <w:pStyle w:val="Fuzeile"/>
            <w:widowControl w:val="0"/>
            <w:rPr>
              <w:rFonts w:ascii="Arial" w:hAnsi="Arial" w:cs="Arial"/>
            </w:rPr>
          </w:pPr>
        </w:p>
      </w:tc>
    </w:tr>
  </w:tbl>
  <w:p w:rsidR="002310AB" w:rsidRDefault="002310AB">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158E" w:rsidRDefault="0099158E" w:rsidP="00E727E2">
      <w:pPr>
        <w:spacing w:after="0" w:line="240" w:lineRule="auto"/>
      </w:pPr>
      <w:r>
        <w:separator/>
      </w:r>
    </w:p>
  </w:footnote>
  <w:footnote w:type="continuationSeparator" w:id="0">
    <w:p w:rsidR="0099158E" w:rsidRDefault="0099158E" w:rsidP="00E727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enraster"/>
      <w:tblW w:w="15309" w:type="dxa"/>
      <w:tblInd w:w="-459" w:type="dxa"/>
      <w:tblLook w:val="0000" w:firstRow="0" w:lastRow="0" w:firstColumn="0" w:lastColumn="0" w:noHBand="0" w:noVBand="0"/>
    </w:tblPr>
    <w:tblGrid>
      <w:gridCol w:w="2410"/>
      <w:gridCol w:w="10631"/>
      <w:gridCol w:w="2268"/>
    </w:tblGrid>
    <w:tr w:rsidR="002310AB" w:rsidTr="00C16D92">
      <w:trPr>
        <w:trHeight w:hRule="exact" w:val="291"/>
      </w:trPr>
      <w:tc>
        <w:tcPr>
          <w:tcW w:w="2410" w:type="dxa"/>
          <w:vMerge w:val="restart"/>
        </w:tcPr>
        <w:p w:rsidR="002310AB" w:rsidRPr="00E01423" w:rsidRDefault="00055D7B" w:rsidP="002310AB">
          <w:pPr>
            <w:jc w:val="center"/>
          </w:pPr>
          <w:r>
            <w:rPr>
              <w:noProof/>
              <w:lang w:eastAsia="de-DE"/>
            </w:rPr>
            <w:drawing>
              <wp:anchor distT="0" distB="0" distL="114300" distR="114300" simplePos="0" relativeHeight="251667456" behindDoc="1" locked="0" layoutInCell="1" allowOverlap="1">
                <wp:simplePos x="0" y="0"/>
                <wp:positionH relativeFrom="column">
                  <wp:posOffset>354330</wp:posOffset>
                </wp:positionH>
                <wp:positionV relativeFrom="paragraph">
                  <wp:posOffset>635</wp:posOffset>
                </wp:positionV>
                <wp:extent cx="784860" cy="784860"/>
                <wp:effectExtent l="0" t="0" r="0" b="0"/>
                <wp:wrapTight wrapText="bothSides">
                  <wp:wrapPolygon edited="0">
                    <wp:start x="6291" y="1049"/>
                    <wp:lineTo x="3670" y="4718"/>
                    <wp:lineTo x="3670" y="6816"/>
                    <wp:lineTo x="5243" y="10485"/>
                    <wp:lineTo x="1573" y="13107"/>
                    <wp:lineTo x="1573" y="19922"/>
                    <wp:lineTo x="19398" y="19922"/>
                    <wp:lineTo x="19398" y="13107"/>
                    <wp:lineTo x="17825" y="10485"/>
                    <wp:lineTo x="14155" y="1049"/>
                    <wp:lineTo x="6291" y="1049"/>
                  </wp:wrapPolygon>
                </wp:wrapTight>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OE_Logo_Kompakt_Farbe_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84860" cy="784860"/>
                        </a:xfrm>
                        <a:prstGeom prst="rect">
                          <a:avLst/>
                        </a:prstGeom>
                      </pic:spPr>
                    </pic:pic>
                  </a:graphicData>
                </a:graphic>
                <wp14:sizeRelH relativeFrom="margin">
                  <wp14:pctWidth>0</wp14:pctWidth>
                </wp14:sizeRelH>
                <wp14:sizeRelV relativeFrom="margin">
                  <wp14:pctHeight>0</wp14:pctHeight>
                </wp14:sizeRelV>
              </wp:anchor>
            </w:drawing>
          </w:r>
        </w:p>
      </w:tc>
      <w:tc>
        <w:tcPr>
          <w:tcW w:w="10631" w:type="dxa"/>
          <w:vAlign w:val="center"/>
        </w:tcPr>
        <w:p w:rsidR="002310AB" w:rsidRPr="00C16D92" w:rsidRDefault="002310AB" w:rsidP="00E727E2">
          <w:pPr>
            <w:pStyle w:val="Vorgabetext"/>
            <w:widowControl/>
            <w:jc w:val="center"/>
            <w:rPr>
              <w:color w:val="0F243E" w:themeColor="text2" w:themeShade="80"/>
              <w:sz w:val="16"/>
              <w:szCs w:val="16"/>
            </w:rPr>
          </w:pPr>
          <w:r w:rsidRPr="00C16D92">
            <w:rPr>
              <w:rFonts w:ascii="Arial" w:hAnsi="Arial" w:cs="Arial"/>
              <w:color w:val="0F243E" w:themeColor="text2" w:themeShade="80"/>
              <w:sz w:val="16"/>
              <w:szCs w:val="16"/>
            </w:rPr>
            <w:t>GEORG-AUGUST-UNIVERSITÄT: Stabsstelle Sicherheitswesen/Umweltschutz</w:t>
          </w:r>
        </w:p>
      </w:tc>
      <w:tc>
        <w:tcPr>
          <w:tcW w:w="2268" w:type="dxa"/>
          <w:vMerge w:val="restart"/>
        </w:tcPr>
        <w:p w:rsidR="002310AB" w:rsidRDefault="002310AB" w:rsidP="002310AB">
          <w:pPr>
            <w:pStyle w:val="Vorgabetext"/>
            <w:widowControl/>
            <w:jc w:val="center"/>
          </w:pPr>
          <w:r>
            <w:rPr>
              <w:noProof/>
            </w:rPr>
            <w:drawing>
              <wp:anchor distT="0" distB="0" distL="114300" distR="114300" simplePos="0" relativeHeight="251666432" behindDoc="1" locked="0" layoutInCell="1" allowOverlap="1" wp14:anchorId="705E0C7A" wp14:editId="63119D1A">
                <wp:simplePos x="0" y="0"/>
                <wp:positionH relativeFrom="column">
                  <wp:posOffset>52849</wp:posOffset>
                </wp:positionH>
                <wp:positionV relativeFrom="paragraph">
                  <wp:posOffset>190416</wp:posOffset>
                </wp:positionV>
                <wp:extent cx="1031671" cy="321206"/>
                <wp:effectExtent l="0" t="0" r="0" b="3175"/>
                <wp:wrapTight wrapText="bothSides">
                  <wp:wrapPolygon edited="0">
                    <wp:start x="0" y="0"/>
                    <wp:lineTo x="0" y="20531"/>
                    <wp:lineTo x="21148" y="20531"/>
                    <wp:lineTo x="21148" y="0"/>
                    <wp:lineTo x="0" y="0"/>
                  </wp:wrapPolygon>
                </wp:wrapTight>
                <wp:docPr id="8"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srcRect/>
                        <a:stretch>
                          <a:fillRect/>
                        </a:stretch>
                      </pic:blipFill>
                      <pic:spPr bwMode="auto">
                        <a:xfrm>
                          <a:off x="0" y="0"/>
                          <a:ext cx="1031671" cy="321206"/>
                        </a:xfrm>
                        <a:prstGeom prst="rect">
                          <a:avLst/>
                        </a:prstGeom>
                        <a:noFill/>
                      </pic:spPr>
                    </pic:pic>
                  </a:graphicData>
                </a:graphic>
                <wp14:sizeRelH relativeFrom="margin">
                  <wp14:pctWidth>0</wp14:pctWidth>
                </wp14:sizeRelH>
                <wp14:sizeRelV relativeFrom="margin">
                  <wp14:pctHeight>0</wp14:pctHeight>
                </wp14:sizeRelV>
              </wp:anchor>
            </w:drawing>
          </w:r>
        </w:p>
      </w:tc>
    </w:tr>
    <w:tr w:rsidR="002310AB" w:rsidTr="00C16D92">
      <w:trPr>
        <w:trHeight w:hRule="exact" w:val="302"/>
      </w:trPr>
      <w:tc>
        <w:tcPr>
          <w:tcW w:w="2410" w:type="dxa"/>
          <w:vMerge/>
        </w:tcPr>
        <w:p w:rsidR="002310AB" w:rsidRDefault="002310AB" w:rsidP="002310AB">
          <w:pPr>
            <w:pStyle w:val="Vorgabetext"/>
          </w:pPr>
        </w:p>
      </w:tc>
      <w:tc>
        <w:tcPr>
          <w:tcW w:w="10631" w:type="dxa"/>
        </w:tcPr>
        <w:p w:rsidR="002310AB" w:rsidRPr="00F745ED" w:rsidRDefault="002310AB" w:rsidP="002310AB">
          <w:pPr>
            <w:pStyle w:val="Vorgabetext"/>
            <w:widowControl/>
            <w:jc w:val="center"/>
            <w:rPr>
              <w:rFonts w:asciiTheme="minorHAnsi" w:eastAsiaTheme="majorEastAsia" w:hAnsiTheme="minorHAnsi" w:cstheme="majorBidi"/>
              <w:b/>
              <w:bCs/>
              <w:iCs/>
              <w:color w:val="1F497D" w:themeColor="text2"/>
              <w:szCs w:val="24"/>
              <w:lang w:eastAsia="en-US"/>
            </w:rPr>
          </w:pPr>
          <w:r w:rsidRPr="00F745ED">
            <w:rPr>
              <w:rFonts w:asciiTheme="minorHAnsi" w:eastAsiaTheme="majorEastAsia" w:hAnsiTheme="minorHAnsi" w:cstheme="majorBidi"/>
              <w:b/>
              <w:bCs/>
              <w:iCs/>
              <w:color w:val="1F497D" w:themeColor="text2"/>
              <w:szCs w:val="24"/>
              <w:lang w:eastAsia="en-US"/>
            </w:rPr>
            <w:t>Checkliste</w:t>
          </w:r>
        </w:p>
      </w:tc>
      <w:tc>
        <w:tcPr>
          <w:tcW w:w="2268" w:type="dxa"/>
          <w:vMerge/>
        </w:tcPr>
        <w:p w:rsidR="002310AB" w:rsidRDefault="002310AB" w:rsidP="002310AB">
          <w:pPr>
            <w:pStyle w:val="Vorgabetext"/>
            <w:widowControl/>
            <w:rPr>
              <w:rFonts w:ascii="Arial" w:hAnsi="Arial" w:cs="Arial"/>
              <w:b/>
              <w:bCs/>
              <w:color w:val="000000"/>
            </w:rPr>
          </w:pPr>
        </w:p>
      </w:tc>
    </w:tr>
    <w:tr w:rsidR="002310AB" w:rsidTr="00F745ED">
      <w:trPr>
        <w:trHeight w:hRule="exact" w:val="692"/>
      </w:trPr>
      <w:tc>
        <w:tcPr>
          <w:tcW w:w="2410" w:type="dxa"/>
          <w:vMerge/>
        </w:tcPr>
        <w:p w:rsidR="002310AB" w:rsidRDefault="002310AB" w:rsidP="002310AB">
          <w:pPr>
            <w:pStyle w:val="Vorgabetext"/>
            <w:widowControl/>
            <w:rPr>
              <w:rFonts w:ascii="Arial" w:hAnsi="Arial" w:cs="Arial"/>
              <w:b/>
              <w:bCs/>
              <w:color w:val="0000FF"/>
            </w:rPr>
          </w:pPr>
        </w:p>
      </w:tc>
      <w:tc>
        <w:tcPr>
          <w:tcW w:w="10631" w:type="dxa"/>
        </w:tcPr>
        <w:p w:rsidR="002310AB" w:rsidRPr="00F745ED" w:rsidRDefault="00055D7B" w:rsidP="002310AB">
          <w:pPr>
            <w:pStyle w:val="Vorgabetext"/>
            <w:widowControl/>
            <w:jc w:val="center"/>
            <w:rPr>
              <w:rFonts w:asciiTheme="minorHAnsi" w:eastAsiaTheme="majorEastAsia" w:hAnsiTheme="minorHAnsi" w:cstheme="majorBidi"/>
              <w:b/>
              <w:bCs/>
              <w:iCs/>
              <w:color w:val="1F497D" w:themeColor="text2"/>
              <w:szCs w:val="24"/>
              <w:lang w:eastAsia="en-US"/>
            </w:rPr>
          </w:pPr>
          <w:r w:rsidRPr="00F745ED">
            <w:rPr>
              <w:rFonts w:asciiTheme="minorHAnsi" w:eastAsiaTheme="majorEastAsia" w:hAnsiTheme="minorHAnsi" w:cstheme="majorBidi"/>
              <w:b/>
              <w:bCs/>
              <w:iCs/>
              <w:color w:val="1F497D" w:themeColor="text2"/>
              <w:szCs w:val="24"/>
              <w:lang w:eastAsia="en-US"/>
            </w:rPr>
            <w:t>Bauliche</w:t>
          </w:r>
          <w:r w:rsidR="002310AB" w:rsidRPr="00F745ED">
            <w:rPr>
              <w:rFonts w:asciiTheme="minorHAnsi" w:eastAsiaTheme="majorEastAsia" w:hAnsiTheme="minorHAnsi" w:cstheme="majorBidi"/>
              <w:b/>
              <w:bCs/>
              <w:iCs/>
              <w:color w:val="1F497D" w:themeColor="text2"/>
              <w:szCs w:val="24"/>
              <w:lang w:eastAsia="en-US"/>
            </w:rPr>
            <w:t xml:space="preserve">, technische und organisatorische Anforderungen an ein gentechnisches </w:t>
          </w:r>
        </w:p>
        <w:p w:rsidR="002310AB" w:rsidRPr="00F745ED" w:rsidRDefault="002310AB" w:rsidP="001A6FE4">
          <w:pPr>
            <w:pStyle w:val="Vorgabetext"/>
            <w:widowControl/>
            <w:jc w:val="center"/>
            <w:rPr>
              <w:rFonts w:asciiTheme="minorHAnsi" w:eastAsiaTheme="majorEastAsia" w:hAnsiTheme="minorHAnsi" w:cstheme="majorBidi"/>
              <w:b/>
              <w:bCs/>
              <w:iCs/>
              <w:color w:val="1F497D" w:themeColor="text2"/>
              <w:szCs w:val="24"/>
              <w:lang w:eastAsia="en-US"/>
            </w:rPr>
          </w:pPr>
          <w:r w:rsidRPr="00F745ED">
            <w:rPr>
              <w:rFonts w:asciiTheme="minorHAnsi" w:eastAsiaTheme="majorEastAsia" w:hAnsiTheme="minorHAnsi" w:cstheme="majorBidi"/>
              <w:b/>
              <w:bCs/>
              <w:iCs/>
              <w:color w:val="FF0000"/>
              <w:szCs w:val="24"/>
              <w:lang w:eastAsia="en-US"/>
            </w:rPr>
            <w:t>S1 -Labor</w:t>
          </w:r>
        </w:p>
      </w:tc>
      <w:tc>
        <w:tcPr>
          <w:tcW w:w="2268" w:type="dxa"/>
          <w:vMerge/>
        </w:tcPr>
        <w:p w:rsidR="002310AB" w:rsidRDefault="002310AB" w:rsidP="002310AB">
          <w:pPr>
            <w:pStyle w:val="Vorgabetext"/>
            <w:widowControl/>
            <w:rPr>
              <w:rFonts w:ascii="Arial" w:hAnsi="Arial" w:cs="Arial"/>
              <w:b/>
              <w:bCs/>
              <w:color w:val="0000FF"/>
            </w:rPr>
          </w:pPr>
        </w:p>
      </w:tc>
    </w:tr>
  </w:tbl>
  <w:p w:rsidR="002310AB" w:rsidRDefault="002310AB">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E4573"/>
    <w:multiLevelType w:val="hybridMultilevel"/>
    <w:tmpl w:val="BD82C9BC"/>
    <w:lvl w:ilvl="0" w:tplc="0407000F">
      <w:start w:val="1"/>
      <w:numFmt w:val="decimal"/>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2FC2BD4"/>
    <w:multiLevelType w:val="hybridMultilevel"/>
    <w:tmpl w:val="1EBEB0AE"/>
    <w:lvl w:ilvl="0" w:tplc="0407000F">
      <w:start w:val="1"/>
      <w:numFmt w:val="decimal"/>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439243F"/>
    <w:multiLevelType w:val="multilevel"/>
    <w:tmpl w:val="10DAD08C"/>
    <w:lvl w:ilvl="0">
      <w:start w:val="1"/>
      <w:numFmt w:val="decimal"/>
      <w:lvlText w:val="%1."/>
      <w:lvlJc w:val="left"/>
      <w:pPr>
        <w:ind w:left="360" w:hanging="360"/>
      </w:pPr>
      <w:rPr>
        <w:rFonts w:hint="default"/>
      </w:rPr>
    </w:lvl>
    <w:lvl w:ilv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33873B5"/>
    <w:multiLevelType w:val="hybridMultilevel"/>
    <w:tmpl w:val="FB5A5F6E"/>
    <w:lvl w:ilvl="0" w:tplc="0407000F">
      <w:start w:val="1"/>
      <w:numFmt w:val="decimal"/>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465278B"/>
    <w:multiLevelType w:val="hybridMultilevel"/>
    <w:tmpl w:val="9A6A398A"/>
    <w:lvl w:ilvl="0" w:tplc="04070001">
      <w:start w:val="1"/>
      <w:numFmt w:val="bullet"/>
      <w:lvlText w:val=""/>
      <w:lvlJc w:val="left"/>
      <w:pPr>
        <w:ind w:left="1185" w:hanging="360"/>
      </w:pPr>
      <w:rPr>
        <w:rFonts w:ascii="Symbol" w:hAnsi="Symbol" w:hint="default"/>
      </w:rPr>
    </w:lvl>
    <w:lvl w:ilvl="1" w:tplc="04070003">
      <w:start w:val="1"/>
      <w:numFmt w:val="bullet"/>
      <w:lvlText w:val="o"/>
      <w:lvlJc w:val="left"/>
      <w:pPr>
        <w:ind w:left="1905" w:hanging="360"/>
      </w:pPr>
      <w:rPr>
        <w:rFonts w:ascii="Courier New" w:hAnsi="Courier New" w:cs="Courier New" w:hint="default"/>
      </w:rPr>
    </w:lvl>
    <w:lvl w:ilvl="2" w:tplc="04070005" w:tentative="1">
      <w:start w:val="1"/>
      <w:numFmt w:val="bullet"/>
      <w:lvlText w:val=""/>
      <w:lvlJc w:val="left"/>
      <w:pPr>
        <w:ind w:left="2625" w:hanging="360"/>
      </w:pPr>
      <w:rPr>
        <w:rFonts w:ascii="Wingdings" w:hAnsi="Wingdings" w:hint="default"/>
      </w:rPr>
    </w:lvl>
    <w:lvl w:ilvl="3" w:tplc="04070001" w:tentative="1">
      <w:start w:val="1"/>
      <w:numFmt w:val="bullet"/>
      <w:lvlText w:val=""/>
      <w:lvlJc w:val="left"/>
      <w:pPr>
        <w:ind w:left="3345" w:hanging="360"/>
      </w:pPr>
      <w:rPr>
        <w:rFonts w:ascii="Symbol" w:hAnsi="Symbol" w:hint="default"/>
      </w:rPr>
    </w:lvl>
    <w:lvl w:ilvl="4" w:tplc="04070003" w:tentative="1">
      <w:start w:val="1"/>
      <w:numFmt w:val="bullet"/>
      <w:lvlText w:val="o"/>
      <w:lvlJc w:val="left"/>
      <w:pPr>
        <w:ind w:left="4065" w:hanging="360"/>
      </w:pPr>
      <w:rPr>
        <w:rFonts w:ascii="Courier New" w:hAnsi="Courier New" w:cs="Courier New" w:hint="default"/>
      </w:rPr>
    </w:lvl>
    <w:lvl w:ilvl="5" w:tplc="04070005" w:tentative="1">
      <w:start w:val="1"/>
      <w:numFmt w:val="bullet"/>
      <w:lvlText w:val=""/>
      <w:lvlJc w:val="left"/>
      <w:pPr>
        <w:ind w:left="4785" w:hanging="360"/>
      </w:pPr>
      <w:rPr>
        <w:rFonts w:ascii="Wingdings" w:hAnsi="Wingdings" w:hint="default"/>
      </w:rPr>
    </w:lvl>
    <w:lvl w:ilvl="6" w:tplc="04070001" w:tentative="1">
      <w:start w:val="1"/>
      <w:numFmt w:val="bullet"/>
      <w:lvlText w:val=""/>
      <w:lvlJc w:val="left"/>
      <w:pPr>
        <w:ind w:left="5505" w:hanging="360"/>
      </w:pPr>
      <w:rPr>
        <w:rFonts w:ascii="Symbol" w:hAnsi="Symbol" w:hint="default"/>
      </w:rPr>
    </w:lvl>
    <w:lvl w:ilvl="7" w:tplc="04070003" w:tentative="1">
      <w:start w:val="1"/>
      <w:numFmt w:val="bullet"/>
      <w:lvlText w:val="o"/>
      <w:lvlJc w:val="left"/>
      <w:pPr>
        <w:ind w:left="6225" w:hanging="360"/>
      </w:pPr>
      <w:rPr>
        <w:rFonts w:ascii="Courier New" w:hAnsi="Courier New" w:cs="Courier New" w:hint="default"/>
      </w:rPr>
    </w:lvl>
    <w:lvl w:ilvl="8" w:tplc="04070005" w:tentative="1">
      <w:start w:val="1"/>
      <w:numFmt w:val="bullet"/>
      <w:lvlText w:val=""/>
      <w:lvlJc w:val="left"/>
      <w:pPr>
        <w:ind w:left="6945" w:hanging="360"/>
      </w:pPr>
      <w:rPr>
        <w:rFonts w:ascii="Wingdings" w:hAnsi="Wingdings" w:hint="default"/>
      </w:rPr>
    </w:lvl>
  </w:abstractNum>
  <w:abstractNum w:abstractNumId="5" w15:restartNumberingAfterBreak="0">
    <w:nsid w:val="1A166861"/>
    <w:multiLevelType w:val="hybridMultilevel"/>
    <w:tmpl w:val="5DD8BC1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1F7338B7"/>
    <w:multiLevelType w:val="multilevel"/>
    <w:tmpl w:val="0180FA56"/>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08841DE"/>
    <w:multiLevelType w:val="multilevel"/>
    <w:tmpl w:val="AC4A2E76"/>
    <w:lvl w:ilvl="0">
      <w:start w:val="2"/>
      <w:numFmt w:val="decimal"/>
      <w:lvlText w:val="%1."/>
      <w:lvlJc w:val="left"/>
      <w:pPr>
        <w:ind w:left="360" w:hanging="360"/>
      </w:pPr>
      <w:rPr>
        <w:rFonts w:hint="default"/>
      </w:rPr>
    </w:lvl>
    <w:lvl w:ilvl="1">
      <w:start w:val="1"/>
      <w:numFmt w:val="decimal"/>
      <w:lvlText w:val="%1.%2."/>
      <w:lvlJc w:val="left"/>
      <w:pPr>
        <w:ind w:left="817"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6971C16"/>
    <w:multiLevelType w:val="multilevel"/>
    <w:tmpl w:val="03ECDF0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B2556CB"/>
    <w:multiLevelType w:val="multilevel"/>
    <w:tmpl w:val="10DAD08C"/>
    <w:lvl w:ilvl="0">
      <w:start w:val="1"/>
      <w:numFmt w:val="decimal"/>
      <w:lvlText w:val="%1."/>
      <w:lvlJc w:val="left"/>
      <w:pPr>
        <w:ind w:left="360" w:hanging="360"/>
      </w:pPr>
      <w:rPr>
        <w:rFonts w:hint="default"/>
      </w:rPr>
    </w:lvl>
    <w:lvl w:ilv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BD010D7"/>
    <w:multiLevelType w:val="multilevel"/>
    <w:tmpl w:val="C930C52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2714930"/>
    <w:multiLevelType w:val="hybridMultilevel"/>
    <w:tmpl w:val="F30CB032"/>
    <w:lvl w:ilvl="0" w:tplc="0407000F">
      <w:start w:val="1"/>
      <w:numFmt w:val="decimal"/>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378C2E27"/>
    <w:multiLevelType w:val="hybridMultilevel"/>
    <w:tmpl w:val="827AFA1A"/>
    <w:lvl w:ilvl="0" w:tplc="F0BAC5E4">
      <w:start w:val="5"/>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37BF64BD"/>
    <w:multiLevelType w:val="hybridMultilevel"/>
    <w:tmpl w:val="D1C89A14"/>
    <w:lvl w:ilvl="0" w:tplc="407A0DC2">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38EE3646"/>
    <w:multiLevelType w:val="multilevel"/>
    <w:tmpl w:val="10DAD08C"/>
    <w:lvl w:ilvl="0">
      <w:start w:val="1"/>
      <w:numFmt w:val="decimal"/>
      <w:lvlText w:val="%1."/>
      <w:lvlJc w:val="left"/>
      <w:pPr>
        <w:ind w:left="360" w:hanging="360"/>
      </w:pPr>
      <w:rPr>
        <w:rFonts w:hint="default"/>
      </w:rPr>
    </w:lvl>
    <w:lvl w:ilv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FB135E4"/>
    <w:multiLevelType w:val="hybridMultilevel"/>
    <w:tmpl w:val="AA10D4B8"/>
    <w:lvl w:ilvl="0" w:tplc="0407000F">
      <w:start w:val="1"/>
      <w:numFmt w:val="decimal"/>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40623713"/>
    <w:multiLevelType w:val="multilevel"/>
    <w:tmpl w:val="C930C52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41150348"/>
    <w:multiLevelType w:val="hybridMultilevel"/>
    <w:tmpl w:val="046CED40"/>
    <w:lvl w:ilvl="0" w:tplc="0407000F">
      <w:start w:val="1"/>
      <w:numFmt w:val="decimal"/>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41824AC4"/>
    <w:multiLevelType w:val="multilevel"/>
    <w:tmpl w:val="0180FA56"/>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3444162"/>
    <w:multiLevelType w:val="hybridMultilevel"/>
    <w:tmpl w:val="0BC49BDA"/>
    <w:lvl w:ilvl="0" w:tplc="F7D8AC1E">
      <w:start w:val="4"/>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440F38AC"/>
    <w:multiLevelType w:val="hybridMultilevel"/>
    <w:tmpl w:val="C5FAB316"/>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1" w15:restartNumberingAfterBreak="0">
    <w:nsid w:val="466A1B08"/>
    <w:multiLevelType w:val="hybridMultilevel"/>
    <w:tmpl w:val="CAEA1B00"/>
    <w:lvl w:ilvl="0" w:tplc="0407000F">
      <w:start w:val="1"/>
      <w:numFmt w:val="decimal"/>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489E0F19"/>
    <w:multiLevelType w:val="multilevel"/>
    <w:tmpl w:val="A7167E8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4EDA4C08"/>
    <w:multiLevelType w:val="multilevel"/>
    <w:tmpl w:val="6E8A363C"/>
    <w:lvl w:ilvl="0">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505A4A2E"/>
    <w:multiLevelType w:val="hybridMultilevel"/>
    <w:tmpl w:val="CAEA1B00"/>
    <w:lvl w:ilvl="0" w:tplc="0407000F">
      <w:start w:val="1"/>
      <w:numFmt w:val="decimal"/>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515F6BCF"/>
    <w:multiLevelType w:val="multilevel"/>
    <w:tmpl w:val="0180FA56"/>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3C855BD"/>
    <w:multiLevelType w:val="multilevel"/>
    <w:tmpl w:val="AC4A2E76"/>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4A74D6D"/>
    <w:multiLevelType w:val="multilevel"/>
    <w:tmpl w:val="C930C52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5881B33"/>
    <w:multiLevelType w:val="multilevel"/>
    <w:tmpl w:val="03ECDF0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6BC2F01"/>
    <w:multiLevelType w:val="multilevel"/>
    <w:tmpl w:val="03ECDF0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5EC919A0"/>
    <w:multiLevelType w:val="hybridMultilevel"/>
    <w:tmpl w:val="50E25366"/>
    <w:lvl w:ilvl="0" w:tplc="0407000F">
      <w:start w:val="1"/>
      <w:numFmt w:val="decimal"/>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61B47F4C"/>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28D767B"/>
    <w:multiLevelType w:val="hybridMultilevel"/>
    <w:tmpl w:val="342850B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15:restartNumberingAfterBreak="0">
    <w:nsid w:val="652E6B22"/>
    <w:multiLevelType w:val="multilevel"/>
    <w:tmpl w:val="E3DE6C5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658E4AA6"/>
    <w:multiLevelType w:val="hybridMultilevel"/>
    <w:tmpl w:val="213A32B0"/>
    <w:lvl w:ilvl="0" w:tplc="0407000F">
      <w:start w:val="1"/>
      <w:numFmt w:val="decimal"/>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 w15:restartNumberingAfterBreak="0">
    <w:nsid w:val="688A530A"/>
    <w:multiLevelType w:val="multilevel"/>
    <w:tmpl w:val="6E8A363C"/>
    <w:lvl w:ilvl="0">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01A693A"/>
    <w:multiLevelType w:val="multilevel"/>
    <w:tmpl w:val="953A7CA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7141250B"/>
    <w:multiLevelType w:val="hybridMultilevel"/>
    <w:tmpl w:val="A1B62F2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8" w15:restartNumberingAfterBreak="0">
    <w:nsid w:val="71510B6A"/>
    <w:multiLevelType w:val="hybridMultilevel"/>
    <w:tmpl w:val="8F4A9F70"/>
    <w:lvl w:ilvl="0" w:tplc="0407000F">
      <w:start w:val="1"/>
      <w:numFmt w:val="decimal"/>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9" w15:restartNumberingAfterBreak="0">
    <w:nsid w:val="737932B0"/>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44C6942"/>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74F662CC"/>
    <w:multiLevelType w:val="hybridMultilevel"/>
    <w:tmpl w:val="0F9632C2"/>
    <w:lvl w:ilvl="0" w:tplc="6580738A">
      <w:start w:val="3"/>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2" w15:restartNumberingAfterBreak="0">
    <w:nsid w:val="7E5E24CA"/>
    <w:multiLevelType w:val="hybridMultilevel"/>
    <w:tmpl w:val="0340F8BC"/>
    <w:lvl w:ilvl="0" w:tplc="0407000F">
      <w:start w:val="1"/>
      <w:numFmt w:val="decimal"/>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39"/>
  </w:num>
  <w:num w:numId="2">
    <w:abstractNumId w:val="35"/>
  </w:num>
  <w:num w:numId="3">
    <w:abstractNumId w:val="32"/>
  </w:num>
  <w:num w:numId="4">
    <w:abstractNumId w:val="40"/>
  </w:num>
  <w:num w:numId="5">
    <w:abstractNumId w:val="34"/>
  </w:num>
  <w:num w:numId="6">
    <w:abstractNumId w:val="1"/>
  </w:num>
  <w:num w:numId="7">
    <w:abstractNumId w:val="38"/>
  </w:num>
  <w:num w:numId="8">
    <w:abstractNumId w:val="11"/>
  </w:num>
  <w:num w:numId="9">
    <w:abstractNumId w:val="3"/>
  </w:num>
  <w:num w:numId="10">
    <w:abstractNumId w:val="8"/>
  </w:num>
  <w:num w:numId="11">
    <w:abstractNumId w:val="42"/>
  </w:num>
  <w:num w:numId="12">
    <w:abstractNumId w:val="15"/>
  </w:num>
  <w:num w:numId="13">
    <w:abstractNumId w:val="29"/>
  </w:num>
  <w:num w:numId="14">
    <w:abstractNumId w:val="28"/>
  </w:num>
  <w:num w:numId="15">
    <w:abstractNumId w:val="7"/>
  </w:num>
  <w:num w:numId="16">
    <w:abstractNumId w:val="26"/>
  </w:num>
  <w:num w:numId="17">
    <w:abstractNumId w:val="6"/>
  </w:num>
  <w:num w:numId="18">
    <w:abstractNumId w:val="23"/>
  </w:num>
  <w:num w:numId="19">
    <w:abstractNumId w:val="9"/>
  </w:num>
  <w:num w:numId="20">
    <w:abstractNumId w:val="2"/>
  </w:num>
  <w:num w:numId="21">
    <w:abstractNumId w:val="14"/>
  </w:num>
  <w:num w:numId="22">
    <w:abstractNumId w:val="0"/>
  </w:num>
  <w:num w:numId="23">
    <w:abstractNumId w:val="21"/>
  </w:num>
  <w:num w:numId="24">
    <w:abstractNumId w:val="13"/>
  </w:num>
  <w:num w:numId="25">
    <w:abstractNumId w:val="5"/>
  </w:num>
  <w:num w:numId="26">
    <w:abstractNumId w:val="37"/>
  </w:num>
  <w:num w:numId="27">
    <w:abstractNumId w:val="41"/>
  </w:num>
  <w:num w:numId="28">
    <w:abstractNumId w:val="17"/>
  </w:num>
  <w:num w:numId="29">
    <w:abstractNumId w:val="19"/>
  </w:num>
  <w:num w:numId="30">
    <w:abstractNumId w:val="24"/>
  </w:num>
  <w:num w:numId="31">
    <w:abstractNumId w:val="12"/>
  </w:num>
  <w:num w:numId="32">
    <w:abstractNumId w:val="16"/>
  </w:num>
  <w:num w:numId="33">
    <w:abstractNumId w:val="18"/>
  </w:num>
  <w:num w:numId="34">
    <w:abstractNumId w:val="22"/>
  </w:num>
  <w:num w:numId="35">
    <w:abstractNumId w:val="33"/>
  </w:num>
  <w:num w:numId="36">
    <w:abstractNumId w:val="4"/>
  </w:num>
  <w:num w:numId="37">
    <w:abstractNumId w:val="20"/>
  </w:num>
  <w:num w:numId="38">
    <w:abstractNumId w:val="25"/>
  </w:num>
  <w:num w:numId="39">
    <w:abstractNumId w:val="27"/>
  </w:num>
  <w:num w:numId="40">
    <w:abstractNumId w:val="10"/>
  </w:num>
  <w:num w:numId="41">
    <w:abstractNumId w:val="36"/>
  </w:num>
  <w:num w:numId="42">
    <w:abstractNumId w:val="30"/>
  </w:num>
  <w:num w:numId="43">
    <w:abstractNumId w:val="3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1ACB"/>
    <w:rsid w:val="00007828"/>
    <w:rsid w:val="0001769F"/>
    <w:rsid w:val="0003098D"/>
    <w:rsid w:val="00043747"/>
    <w:rsid w:val="00043943"/>
    <w:rsid w:val="000461B4"/>
    <w:rsid w:val="00055D7B"/>
    <w:rsid w:val="000762CD"/>
    <w:rsid w:val="00077260"/>
    <w:rsid w:val="0008416D"/>
    <w:rsid w:val="0008742B"/>
    <w:rsid w:val="00095D60"/>
    <w:rsid w:val="000A334F"/>
    <w:rsid w:val="000B0ED6"/>
    <w:rsid w:val="000D1512"/>
    <w:rsid w:val="000D2A31"/>
    <w:rsid w:val="000E4281"/>
    <w:rsid w:val="00122DED"/>
    <w:rsid w:val="001244D9"/>
    <w:rsid w:val="00141AFA"/>
    <w:rsid w:val="00167119"/>
    <w:rsid w:val="001723CE"/>
    <w:rsid w:val="00172E8F"/>
    <w:rsid w:val="001A6FE4"/>
    <w:rsid w:val="001A7001"/>
    <w:rsid w:val="001C6C58"/>
    <w:rsid w:val="001D00C9"/>
    <w:rsid w:val="001D2F87"/>
    <w:rsid w:val="001D3D91"/>
    <w:rsid w:val="001E04CE"/>
    <w:rsid w:val="001E05A1"/>
    <w:rsid w:val="001E252E"/>
    <w:rsid w:val="001E7C5A"/>
    <w:rsid w:val="0022626C"/>
    <w:rsid w:val="002310AB"/>
    <w:rsid w:val="00267130"/>
    <w:rsid w:val="00280917"/>
    <w:rsid w:val="002836FC"/>
    <w:rsid w:val="002A12F5"/>
    <w:rsid w:val="002A6385"/>
    <w:rsid w:val="002C30A7"/>
    <w:rsid w:val="002C49D8"/>
    <w:rsid w:val="002D4EBD"/>
    <w:rsid w:val="002F0982"/>
    <w:rsid w:val="002F35F7"/>
    <w:rsid w:val="0030729E"/>
    <w:rsid w:val="00311ACB"/>
    <w:rsid w:val="00315FBF"/>
    <w:rsid w:val="003313DC"/>
    <w:rsid w:val="0035468D"/>
    <w:rsid w:val="00356398"/>
    <w:rsid w:val="003A031B"/>
    <w:rsid w:val="003E6960"/>
    <w:rsid w:val="003E73F7"/>
    <w:rsid w:val="003F01D4"/>
    <w:rsid w:val="003F30E4"/>
    <w:rsid w:val="003F5873"/>
    <w:rsid w:val="00410B5E"/>
    <w:rsid w:val="004212D4"/>
    <w:rsid w:val="004274BE"/>
    <w:rsid w:val="00430A4C"/>
    <w:rsid w:val="00431EFA"/>
    <w:rsid w:val="004331BB"/>
    <w:rsid w:val="004419BF"/>
    <w:rsid w:val="004663EE"/>
    <w:rsid w:val="00476E07"/>
    <w:rsid w:val="00482EB9"/>
    <w:rsid w:val="004B6205"/>
    <w:rsid w:val="004D3822"/>
    <w:rsid w:val="004F29CE"/>
    <w:rsid w:val="0050766E"/>
    <w:rsid w:val="005132FC"/>
    <w:rsid w:val="00527239"/>
    <w:rsid w:val="00542E88"/>
    <w:rsid w:val="00546AD6"/>
    <w:rsid w:val="00560F7D"/>
    <w:rsid w:val="0057123C"/>
    <w:rsid w:val="00576BD2"/>
    <w:rsid w:val="00580956"/>
    <w:rsid w:val="0058195F"/>
    <w:rsid w:val="005857EA"/>
    <w:rsid w:val="00594802"/>
    <w:rsid w:val="00596797"/>
    <w:rsid w:val="005B0CC3"/>
    <w:rsid w:val="005B2EA7"/>
    <w:rsid w:val="005B74C1"/>
    <w:rsid w:val="005C74A8"/>
    <w:rsid w:val="005C7EF9"/>
    <w:rsid w:val="005D285E"/>
    <w:rsid w:val="005F7292"/>
    <w:rsid w:val="006137B7"/>
    <w:rsid w:val="006262C4"/>
    <w:rsid w:val="00650E86"/>
    <w:rsid w:val="00680C26"/>
    <w:rsid w:val="006902B4"/>
    <w:rsid w:val="006925C1"/>
    <w:rsid w:val="006E2509"/>
    <w:rsid w:val="006E3AAA"/>
    <w:rsid w:val="00710CF7"/>
    <w:rsid w:val="0071185B"/>
    <w:rsid w:val="00735A8C"/>
    <w:rsid w:val="00740C10"/>
    <w:rsid w:val="00747FE9"/>
    <w:rsid w:val="00772A3B"/>
    <w:rsid w:val="007A1F83"/>
    <w:rsid w:val="007B3511"/>
    <w:rsid w:val="007C7FA9"/>
    <w:rsid w:val="007D7305"/>
    <w:rsid w:val="00804259"/>
    <w:rsid w:val="0080649C"/>
    <w:rsid w:val="00811705"/>
    <w:rsid w:val="0081524A"/>
    <w:rsid w:val="00831D8D"/>
    <w:rsid w:val="0087233F"/>
    <w:rsid w:val="00876701"/>
    <w:rsid w:val="0088614C"/>
    <w:rsid w:val="00887EC1"/>
    <w:rsid w:val="008A1C9E"/>
    <w:rsid w:val="008A4C40"/>
    <w:rsid w:val="008A7435"/>
    <w:rsid w:val="008B3C83"/>
    <w:rsid w:val="008B6000"/>
    <w:rsid w:val="008D0A9A"/>
    <w:rsid w:val="008F05E6"/>
    <w:rsid w:val="008F0D3D"/>
    <w:rsid w:val="008F35E2"/>
    <w:rsid w:val="008F422E"/>
    <w:rsid w:val="008F66D8"/>
    <w:rsid w:val="00916EA4"/>
    <w:rsid w:val="009200DD"/>
    <w:rsid w:val="00945B29"/>
    <w:rsid w:val="00970F1D"/>
    <w:rsid w:val="00983126"/>
    <w:rsid w:val="00990E7B"/>
    <w:rsid w:val="0099158E"/>
    <w:rsid w:val="009A2C2D"/>
    <w:rsid w:val="009D0EBA"/>
    <w:rsid w:val="009D666A"/>
    <w:rsid w:val="009E522E"/>
    <w:rsid w:val="009E63D2"/>
    <w:rsid w:val="00A25EA6"/>
    <w:rsid w:val="00A447F8"/>
    <w:rsid w:val="00A549E0"/>
    <w:rsid w:val="00A71746"/>
    <w:rsid w:val="00A86D1B"/>
    <w:rsid w:val="00AA5CD9"/>
    <w:rsid w:val="00AA6726"/>
    <w:rsid w:val="00AB797F"/>
    <w:rsid w:val="00AC096C"/>
    <w:rsid w:val="00AC3645"/>
    <w:rsid w:val="00AE0574"/>
    <w:rsid w:val="00AF4C0B"/>
    <w:rsid w:val="00B363B8"/>
    <w:rsid w:val="00B41054"/>
    <w:rsid w:val="00B41C2C"/>
    <w:rsid w:val="00B54BC0"/>
    <w:rsid w:val="00B55155"/>
    <w:rsid w:val="00B64AB0"/>
    <w:rsid w:val="00B80849"/>
    <w:rsid w:val="00B8678B"/>
    <w:rsid w:val="00B96640"/>
    <w:rsid w:val="00BA1C63"/>
    <w:rsid w:val="00BB006A"/>
    <w:rsid w:val="00BC154F"/>
    <w:rsid w:val="00BC3BB9"/>
    <w:rsid w:val="00BD6182"/>
    <w:rsid w:val="00BE5EBE"/>
    <w:rsid w:val="00BF6F24"/>
    <w:rsid w:val="00C016C3"/>
    <w:rsid w:val="00C04840"/>
    <w:rsid w:val="00C1665F"/>
    <w:rsid w:val="00C16D92"/>
    <w:rsid w:val="00C20CF2"/>
    <w:rsid w:val="00C276FE"/>
    <w:rsid w:val="00C35FA4"/>
    <w:rsid w:val="00C374B7"/>
    <w:rsid w:val="00C57F85"/>
    <w:rsid w:val="00C64AE0"/>
    <w:rsid w:val="00C91E86"/>
    <w:rsid w:val="00C93AE4"/>
    <w:rsid w:val="00CB4AF0"/>
    <w:rsid w:val="00CC3E38"/>
    <w:rsid w:val="00CD2123"/>
    <w:rsid w:val="00CD4A79"/>
    <w:rsid w:val="00CF6D06"/>
    <w:rsid w:val="00D133DC"/>
    <w:rsid w:val="00D15EC6"/>
    <w:rsid w:val="00D2701E"/>
    <w:rsid w:val="00D45A82"/>
    <w:rsid w:val="00D70147"/>
    <w:rsid w:val="00D76FDF"/>
    <w:rsid w:val="00D907C4"/>
    <w:rsid w:val="00DA2C19"/>
    <w:rsid w:val="00DC3E3D"/>
    <w:rsid w:val="00DD0D53"/>
    <w:rsid w:val="00DD77CA"/>
    <w:rsid w:val="00DE47DE"/>
    <w:rsid w:val="00E02E8D"/>
    <w:rsid w:val="00E04DD6"/>
    <w:rsid w:val="00E07408"/>
    <w:rsid w:val="00E26A19"/>
    <w:rsid w:val="00E27490"/>
    <w:rsid w:val="00E3735C"/>
    <w:rsid w:val="00E43D1B"/>
    <w:rsid w:val="00E637DE"/>
    <w:rsid w:val="00E64640"/>
    <w:rsid w:val="00E727E2"/>
    <w:rsid w:val="00E80AF1"/>
    <w:rsid w:val="00E8494A"/>
    <w:rsid w:val="00E84B87"/>
    <w:rsid w:val="00E865DE"/>
    <w:rsid w:val="00E90A29"/>
    <w:rsid w:val="00E935DC"/>
    <w:rsid w:val="00E95E7F"/>
    <w:rsid w:val="00E96413"/>
    <w:rsid w:val="00EB7620"/>
    <w:rsid w:val="00EC2D68"/>
    <w:rsid w:val="00ED2498"/>
    <w:rsid w:val="00F01537"/>
    <w:rsid w:val="00F13B67"/>
    <w:rsid w:val="00F161FF"/>
    <w:rsid w:val="00F2779A"/>
    <w:rsid w:val="00F528B5"/>
    <w:rsid w:val="00F56FF6"/>
    <w:rsid w:val="00F61AE2"/>
    <w:rsid w:val="00F65C6C"/>
    <w:rsid w:val="00F665EA"/>
    <w:rsid w:val="00F70433"/>
    <w:rsid w:val="00F71F23"/>
    <w:rsid w:val="00F745ED"/>
    <w:rsid w:val="00F9035D"/>
    <w:rsid w:val="00FA51D1"/>
    <w:rsid w:val="00FB46C2"/>
    <w:rsid w:val="00FD43A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F0FBF0"/>
  <w15:docId w15:val="{637267D3-63D9-4C36-9D40-F761EFC55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next w:val="Standard"/>
    <w:link w:val="berschrift1Zchn"/>
    <w:uiPriority w:val="9"/>
    <w:qFormat/>
    <w:rsid w:val="005F729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311A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311ACB"/>
    <w:pPr>
      <w:ind w:left="720"/>
      <w:contextualSpacing/>
    </w:pPr>
  </w:style>
  <w:style w:type="character" w:customStyle="1" w:styleId="berschrift1Zchn">
    <w:name w:val="Überschrift 1 Zchn"/>
    <w:basedOn w:val="Absatz-Standardschriftart"/>
    <w:link w:val="berschrift1"/>
    <w:uiPriority w:val="9"/>
    <w:rsid w:val="005F7292"/>
    <w:rPr>
      <w:rFonts w:asciiTheme="majorHAnsi" w:eastAsiaTheme="majorEastAsia" w:hAnsiTheme="majorHAnsi" w:cstheme="majorBidi"/>
      <w:b/>
      <w:bCs/>
      <w:color w:val="365F91" w:themeColor="accent1" w:themeShade="BF"/>
      <w:sz w:val="28"/>
      <w:szCs w:val="28"/>
    </w:rPr>
  </w:style>
  <w:style w:type="paragraph" w:styleId="Sprechblasentext">
    <w:name w:val="Balloon Text"/>
    <w:basedOn w:val="Standard"/>
    <w:link w:val="SprechblasentextZchn"/>
    <w:uiPriority w:val="99"/>
    <w:semiHidden/>
    <w:unhideWhenUsed/>
    <w:rsid w:val="00F01537"/>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01537"/>
    <w:rPr>
      <w:rFonts w:ascii="Tahoma" w:hAnsi="Tahoma" w:cs="Tahoma"/>
      <w:sz w:val="16"/>
      <w:szCs w:val="16"/>
    </w:rPr>
  </w:style>
  <w:style w:type="paragraph" w:styleId="Kopfzeile">
    <w:name w:val="header"/>
    <w:basedOn w:val="Standard"/>
    <w:link w:val="KopfzeileZchn"/>
    <w:unhideWhenUsed/>
    <w:rsid w:val="00E727E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E727E2"/>
  </w:style>
  <w:style w:type="paragraph" w:styleId="Fuzeile">
    <w:name w:val="footer"/>
    <w:basedOn w:val="Standard"/>
    <w:link w:val="FuzeileZchn"/>
    <w:unhideWhenUsed/>
    <w:rsid w:val="00E727E2"/>
    <w:pPr>
      <w:tabs>
        <w:tab w:val="center" w:pos="4536"/>
        <w:tab w:val="right" w:pos="9072"/>
      </w:tabs>
      <w:spacing w:after="0" w:line="240" w:lineRule="auto"/>
    </w:pPr>
  </w:style>
  <w:style w:type="character" w:customStyle="1" w:styleId="FuzeileZchn">
    <w:name w:val="Fußzeile Zchn"/>
    <w:basedOn w:val="Absatz-Standardschriftart"/>
    <w:link w:val="Fuzeile"/>
    <w:rsid w:val="00E727E2"/>
  </w:style>
  <w:style w:type="paragraph" w:customStyle="1" w:styleId="Vorgabetext">
    <w:name w:val="Vorgabetext"/>
    <w:basedOn w:val="Standard"/>
    <w:rsid w:val="00E727E2"/>
    <w:pPr>
      <w:widowControl w:val="0"/>
      <w:snapToGrid w:val="0"/>
      <w:spacing w:after="0" w:line="240" w:lineRule="auto"/>
    </w:pPr>
    <w:rPr>
      <w:rFonts w:ascii="Times New Roman" w:eastAsia="Times New Roman" w:hAnsi="Times New Roman" w:cs="Times New Roman"/>
      <w:sz w:val="24"/>
      <w:szCs w:val="20"/>
      <w:lang w:eastAsia="de-DE"/>
    </w:rPr>
  </w:style>
  <w:style w:type="character" w:styleId="Hyperlink">
    <w:name w:val="Hyperlink"/>
    <w:basedOn w:val="Absatz-Standardschriftart"/>
    <w:uiPriority w:val="99"/>
    <w:unhideWhenUsed/>
    <w:rsid w:val="00E865DE"/>
    <w:rPr>
      <w:color w:val="0000FF" w:themeColor="hyperlink"/>
      <w:u w:val="single"/>
    </w:rPr>
  </w:style>
  <w:style w:type="character" w:styleId="BesuchterLink">
    <w:name w:val="FollowedHyperlink"/>
    <w:basedOn w:val="Absatz-Standardschriftart"/>
    <w:uiPriority w:val="99"/>
    <w:semiHidden/>
    <w:unhideWhenUsed/>
    <w:rsid w:val="00772A3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cherheitswesen-umweltschutz.newsletter.uni-goettingen.de/2019/08/15/kurzinfo-autoklav-im-gen-labor/"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cherheitswesen-umweltschutz.newsletter.uni-goettingen.de/2018/02/15/der-hygieneplan-im-labor-die-richtige-wahl-der-desinfektionsmitte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cherheitswesen-umweltschutz.newsletter.uni-goettingen.de/2019/05/13/risikobewertung-und-aufzeichnung-gent-arbeiten/"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icherheitswesen-umweltschutz.newsletter.uni-goettingen.de/2019/11/18/646/" TargetMode="External"/><Relationship Id="rId4" Type="http://schemas.openxmlformats.org/officeDocument/2006/relationships/settings" Target="settings.xml"/><Relationship Id="rId9" Type="http://schemas.openxmlformats.org/officeDocument/2006/relationships/hyperlink" Target="http://sicherheitswesen-umweltschutz.newsletter.uni-goettingen.de/2019/08/15/kurzinfo-autoklav-im-gen-labor/"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382A46-DA29-4469-AF8F-E91BBDE9B6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1526</Words>
  <Characters>9620</Characters>
  <Application>Microsoft Office Word</Application>
  <DocSecurity>0</DocSecurity>
  <Lines>80</Lines>
  <Paragraphs>22</Paragraphs>
  <ScaleCrop>false</ScaleCrop>
  <HeadingPairs>
    <vt:vector size="2" baseType="variant">
      <vt:variant>
        <vt:lpstr>Titel</vt:lpstr>
      </vt:variant>
      <vt:variant>
        <vt:i4>1</vt:i4>
      </vt:variant>
    </vt:vector>
  </HeadingPairs>
  <TitlesOfParts>
    <vt:vector size="1" baseType="lpstr">
      <vt:lpstr/>
    </vt:vector>
  </TitlesOfParts>
  <Company>Universität Göttingen</Company>
  <LinksUpToDate>false</LinksUpToDate>
  <CharactersWithSpaces>11124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Voget, Sonja (ZVW)</dc:creator>
  <cp:lastModifiedBy>Voget, Sonja</cp:lastModifiedBy>
  <cp:revision>6</cp:revision>
  <cp:lastPrinted>2017-04-25T16:01:00Z</cp:lastPrinted>
  <dcterms:created xsi:type="dcterms:W3CDTF">2022-07-01T09:49:00Z</dcterms:created>
  <dcterms:modified xsi:type="dcterms:W3CDTF">2022-07-01T09:56:00Z</dcterms:modified>
</cp:coreProperties>
</file>